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r w:rsidRPr="005249AC">
        <w:rPr>
          <w:rFonts w:ascii="Times New Roman" w:eastAsia="굴림" w:hAnsi="Times New Roman"/>
          <w:b/>
          <w:bCs/>
          <w:color w:val="1F3F5E"/>
          <w:kern w:val="36"/>
          <w:sz w:val="20"/>
          <w:szCs w:val="20"/>
        </w:rPr>
        <w:t xml:space="preserve">L 7 History of Hermeneutics </w:t>
      </w:r>
      <w:r w:rsidR="00772915">
        <w:rPr>
          <w:rFonts w:ascii="Times New Roman" w:eastAsia="굴림" w:hAnsi="Times New Roman" w:hint="eastAsia"/>
          <w:b/>
          <w:bCs/>
          <w:color w:val="1F3F5E"/>
          <w:kern w:val="36"/>
          <w:sz w:val="20"/>
          <w:szCs w:val="20"/>
        </w:rPr>
        <w:t>4-14</w:t>
      </w:r>
    </w:p>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r w:rsidRPr="005249AC">
        <w:rPr>
          <w:rFonts w:ascii="Times New Roman" w:eastAsia="굴림" w:hAnsi="Times New Roman"/>
          <w:b/>
          <w:bCs/>
          <w:color w:val="1F3F5E"/>
          <w:kern w:val="36"/>
          <w:sz w:val="20"/>
          <w:szCs w:val="20"/>
        </w:rPr>
        <w:t xml:space="preserve">                                               Myung Jun Ahn (PTU)</w:t>
      </w:r>
    </w:p>
    <w:p w:rsidR="00F84A76" w:rsidRPr="005249AC" w:rsidRDefault="00256EC7"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hyperlink r:id="rId8" w:history="1">
        <w:r w:rsidR="00F84A76" w:rsidRPr="005249AC">
          <w:rPr>
            <w:rStyle w:val="a6"/>
            <w:rFonts w:ascii="Times New Roman" w:eastAsia="굴림" w:hAnsi="Times New Roman"/>
            <w:b/>
            <w:bCs/>
            <w:kern w:val="36"/>
            <w:sz w:val="20"/>
            <w:szCs w:val="20"/>
          </w:rPr>
          <w:t>http://www.postost.net/2011/05/history-biblical-interpretation-tale-two-cities</w:t>
        </w:r>
      </w:hyperlink>
    </w:p>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p>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r>
        <w:rPr>
          <w:rFonts w:ascii="Times New Roman" w:eastAsia="굴림" w:hAnsi="Times New Roman"/>
          <w:b/>
          <w:noProof/>
          <w:color w:val="1F3F5E"/>
          <w:kern w:val="36"/>
          <w:sz w:val="20"/>
          <w:szCs w:val="20"/>
        </w:rPr>
        <w:drawing>
          <wp:inline distT="0" distB="0" distL="0" distR="0">
            <wp:extent cx="4627880" cy="6941185"/>
            <wp:effectExtent l="19050" t="0" r="1270" b="0"/>
            <wp:docPr id="1" name="그림 1" descr="http://www.postost.net/images/twocit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http://www.postost.net/images/twocities.jpg"/>
                    <pic:cNvPicPr>
                      <a:picLocks noChangeAspect="1" noChangeArrowheads="1"/>
                    </pic:cNvPicPr>
                  </pic:nvPicPr>
                  <pic:blipFill>
                    <a:blip r:embed="rId9"/>
                    <a:srcRect/>
                    <a:stretch>
                      <a:fillRect/>
                    </a:stretch>
                  </pic:blipFill>
                  <pic:spPr bwMode="auto">
                    <a:xfrm>
                      <a:off x="0" y="0"/>
                      <a:ext cx="4627880" cy="6941185"/>
                    </a:xfrm>
                    <a:prstGeom prst="rect">
                      <a:avLst/>
                    </a:prstGeom>
                    <a:noFill/>
                    <a:ln w="9525">
                      <a:noFill/>
                      <a:miter lim="800000"/>
                      <a:headEnd/>
                      <a:tailEnd/>
                    </a:ln>
                  </pic:spPr>
                </pic:pic>
              </a:graphicData>
            </a:graphic>
          </wp:inline>
        </w:drawing>
      </w:r>
    </w:p>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p>
    <w:p w:rsidR="00F84A76" w:rsidRPr="005249AC" w:rsidRDefault="00F84A76" w:rsidP="00F84A76">
      <w:pPr>
        <w:widowControl/>
        <w:shd w:val="clear" w:color="auto" w:fill="F0F0F0"/>
        <w:autoSpaceDE/>
        <w:autoSpaceDN/>
        <w:adjustRightInd/>
        <w:spacing w:line="314" w:lineRule="atLeast"/>
        <w:jc w:val="both"/>
        <w:textAlignment w:val="baseline"/>
        <w:outlineLvl w:val="0"/>
        <w:rPr>
          <w:rFonts w:ascii="Times New Roman" w:eastAsia="굴림" w:hAnsi="Times New Roman"/>
          <w:b/>
          <w:bCs/>
          <w:color w:val="1F3F5E"/>
          <w:kern w:val="36"/>
          <w:sz w:val="20"/>
          <w:szCs w:val="20"/>
        </w:rPr>
      </w:pPr>
      <w:r w:rsidRPr="005249AC">
        <w:rPr>
          <w:rFonts w:ascii="Times New Roman" w:eastAsia="굴림" w:hAnsi="Times New Roman"/>
          <w:b/>
          <w:bCs/>
          <w:color w:val="1F3F5E"/>
          <w:kern w:val="36"/>
          <w:sz w:val="20"/>
          <w:szCs w:val="20"/>
        </w:rPr>
        <w:t>Brevitas et facilitas : a study of a vital aspect in the theological hermeneutics of John Calvin</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color w:val="444444"/>
          <w:sz w:val="20"/>
          <w:szCs w:val="20"/>
          <w:shd w:val="clear" w:color="auto" w:fill="FFFFFF"/>
        </w:rPr>
        <w:t>Thesis (DPhil (Dogmatics))--University of Pretoria</w:t>
      </w:r>
    </w:p>
    <w:p w:rsidR="00F84A76" w:rsidRPr="005249AC" w:rsidRDefault="00256EC7" w:rsidP="00F84A76">
      <w:pPr>
        <w:spacing w:line="480" w:lineRule="auto"/>
        <w:rPr>
          <w:rFonts w:ascii="Times New Roman" w:hAnsi="Times New Roman"/>
          <w:noProof/>
          <w:sz w:val="20"/>
          <w:szCs w:val="20"/>
        </w:rPr>
      </w:pPr>
      <w:hyperlink r:id="rId10" w:history="1">
        <w:r w:rsidR="00F84A76" w:rsidRPr="005249AC">
          <w:rPr>
            <w:rStyle w:val="a6"/>
            <w:rFonts w:ascii="Times New Roman" w:hAnsi="Times New Roman"/>
            <w:noProof/>
            <w:sz w:val="20"/>
            <w:szCs w:val="20"/>
          </w:rPr>
          <w:t>http://repository.up.ac.za/handle/2263/26944</w:t>
        </w:r>
      </w:hyperlink>
    </w:p>
    <w:p w:rsidR="00F84A76" w:rsidRPr="005249AC" w:rsidRDefault="00F84A76" w:rsidP="00F84A76">
      <w:pPr>
        <w:spacing w:line="480" w:lineRule="auto"/>
        <w:ind w:left="360"/>
        <w:rPr>
          <w:rFonts w:ascii="Times New Roman" w:hAnsi="Times New Roman"/>
          <w:noProof/>
          <w:sz w:val="20"/>
          <w:szCs w:val="20"/>
        </w:rPr>
      </w:pPr>
    </w:p>
    <w:p w:rsidR="00F84A76" w:rsidRPr="005249AC" w:rsidRDefault="00F84A76" w:rsidP="00F84A76">
      <w:pPr>
        <w:ind w:left="360" w:firstLine="2880"/>
        <w:rPr>
          <w:rFonts w:ascii="Times New Roman" w:hAnsi="Times New Roman"/>
          <w:b/>
          <w:bCs/>
          <w:noProof/>
          <w:sz w:val="20"/>
          <w:szCs w:val="20"/>
        </w:rPr>
      </w:pPr>
      <w:r w:rsidRPr="005249AC">
        <w:rPr>
          <w:rFonts w:ascii="Times New Roman" w:hAnsi="Times New Roman"/>
          <w:b/>
          <w:bCs/>
          <w:noProof/>
          <w:sz w:val="20"/>
          <w:szCs w:val="20"/>
        </w:rPr>
        <w:t xml:space="preserve">     CHAPTER 3</w:t>
      </w:r>
    </w:p>
    <w:p w:rsidR="00F84A76" w:rsidRPr="005249AC" w:rsidRDefault="00F84A76" w:rsidP="00F84A76">
      <w:pPr>
        <w:ind w:left="360"/>
        <w:rPr>
          <w:rFonts w:ascii="Times New Roman" w:hAnsi="Times New Roman"/>
          <w:b/>
          <w:bCs/>
          <w:noProof/>
          <w:sz w:val="20"/>
          <w:szCs w:val="20"/>
        </w:rPr>
      </w:pPr>
    </w:p>
    <w:p w:rsidR="00F84A76" w:rsidRPr="005249AC" w:rsidRDefault="00F84A76" w:rsidP="00F84A76">
      <w:pPr>
        <w:spacing w:line="480" w:lineRule="auto"/>
        <w:ind w:left="360" w:firstLine="720"/>
        <w:rPr>
          <w:rFonts w:ascii="Times New Roman" w:hAnsi="Times New Roman"/>
          <w:noProof/>
          <w:sz w:val="20"/>
          <w:szCs w:val="20"/>
        </w:rPr>
      </w:pPr>
      <w:r w:rsidRPr="005249AC">
        <w:rPr>
          <w:rFonts w:ascii="Times New Roman" w:hAnsi="Times New Roman"/>
          <w:b/>
          <w:bCs/>
          <w:noProof/>
          <w:sz w:val="20"/>
          <w:szCs w:val="20"/>
        </w:rPr>
        <w:t xml:space="preserve">  Calvin's Attitude Toward the Fathers and Medieval </w:t>
      </w:r>
      <w:r w:rsidRPr="005249AC">
        <w:rPr>
          <w:rFonts w:ascii="Times New Roman" w:hAnsi="Times New Roman"/>
          <w:b/>
          <w:bCs/>
          <w:noProof/>
          <w:sz w:val="20"/>
          <w:szCs w:val="20"/>
        </w:rPr>
        <w:tab/>
      </w:r>
      <w:r w:rsidRPr="005249AC">
        <w:rPr>
          <w:rFonts w:ascii="Times New Roman" w:hAnsi="Times New Roman"/>
          <w:b/>
          <w:bCs/>
          <w:noProof/>
          <w:sz w:val="20"/>
          <w:szCs w:val="20"/>
        </w:rPr>
        <w:tab/>
      </w:r>
      <w:r w:rsidRPr="005249AC">
        <w:rPr>
          <w:rFonts w:ascii="Times New Roman" w:hAnsi="Times New Roman"/>
          <w:b/>
          <w:bCs/>
          <w:noProof/>
          <w:sz w:val="20"/>
          <w:szCs w:val="20"/>
        </w:rPr>
        <w:tab/>
        <w:t xml:space="preserve">    </w:t>
      </w:r>
      <w:r w:rsidRPr="005249AC">
        <w:rPr>
          <w:rFonts w:ascii="Times New Roman" w:hAnsi="Times New Roman"/>
          <w:b/>
          <w:bCs/>
          <w:noProof/>
          <w:sz w:val="20"/>
          <w:szCs w:val="20"/>
        </w:rPr>
        <w:tab/>
      </w:r>
      <w:r w:rsidRPr="005249AC">
        <w:rPr>
          <w:rFonts w:ascii="Times New Roman" w:hAnsi="Times New Roman"/>
          <w:b/>
          <w:bCs/>
          <w:noProof/>
          <w:sz w:val="20"/>
          <w:szCs w:val="20"/>
        </w:rPr>
        <w:tab/>
      </w:r>
      <w:r w:rsidRPr="005249AC">
        <w:rPr>
          <w:rFonts w:ascii="Times New Roman" w:hAnsi="Times New Roman"/>
          <w:b/>
          <w:bCs/>
          <w:noProof/>
          <w:sz w:val="20"/>
          <w:szCs w:val="20"/>
        </w:rPr>
        <w:tab/>
      </w:r>
      <w:r w:rsidRPr="005249AC">
        <w:rPr>
          <w:rFonts w:ascii="Times New Roman" w:hAnsi="Times New Roman"/>
          <w:b/>
          <w:bCs/>
          <w:noProof/>
          <w:sz w:val="20"/>
          <w:szCs w:val="20"/>
        </w:rPr>
        <w:tab/>
        <w:t xml:space="preserve">   Interpretation</w:t>
      </w:r>
    </w:p>
    <w:p w:rsidR="00F84A76" w:rsidRPr="005249AC" w:rsidRDefault="00F84A76" w:rsidP="00F84A76">
      <w:pPr>
        <w:spacing w:line="480" w:lineRule="auto"/>
        <w:ind w:left="360"/>
        <w:rPr>
          <w:rFonts w:ascii="Times New Roman" w:hAnsi="Times New Roman"/>
          <w:noProof/>
          <w:sz w:val="20"/>
          <w:szCs w:val="20"/>
        </w:rPr>
      </w:pPr>
    </w:p>
    <w:p w:rsidR="00F84A76" w:rsidRPr="005249AC" w:rsidRDefault="00F84A76" w:rsidP="00F84A76">
      <w:pPr>
        <w:ind w:left="360" w:firstLine="720"/>
        <w:rPr>
          <w:rFonts w:ascii="Times New Roman" w:hAnsi="Times New Roman"/>
          <w:noProof/>
          <w:sz w:val="20"/>
          <w:szCs w:val="20"/>
        </w:rPr>
      </w:pPr>
      <w:r w:rsidRPr="005249AC">
        <w:rPr>
          <w:rFonts w:ascii="Times New Roman" w:hAnsi="Times New Roman"/>
          <w:noProof/>
          <w:sz w:val="20"/>
          <w:szCs w:val="20"/>
        </w:rPr>
        <w:t xml:space="preserve">In order to understand Calvin's hermeneutics accurately, we first need to determine his attitude toward the Scriptural interpretation practised by the Fathers, the Roman Catholics, and the Jewish interpreters. </w:t>
      </w:r>
    </w:p>
    <w:p w:rsidR="00F84A76" w:rsidRPr="005249AC" w:rsidRDefault="00F84A76" w:rsidP="00F84A76">
      <w:pPr>
        <w:ind w:left="360" w:firstLine="720"/>
        <w:rPr>
          <w:rFonts w:ascii="Times New Roman" w:hAnsi="Times New Roman"/>
          <w:noProof/>
          <w:sz w:val="20"/>
          <w:szCs w:val="20"/>
        </w:rPr>
      </w:pPr>
      <w:r w:rsidRPr="005249AC">
        <w:rPr>
          <w:rFonts w:ascii="Times New Roman" w:hAnsi="Times New Roman"/>
          <w:noProof/>
          <w:sz w:val="20"/>
          <w:szCs w:val="20"/>
        </w:rPr>
        <w:t xml:space="preserve">Calvin observed that they did not have the sound method of Scriptural interpretation. He, therefore, criticized them from the perspective of his hermeneutical ideal. By distinguishing his hermeneutical method from theirs, Calvin developed his own distinctive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Although he respected the theology of Augustine, Jerome, and Ambrose, Calvin often disagreed with their wrong hermeneutical methods. Especially in the commentaries on the Pauline Epistles he strongly criticized their Scriptural interpretation prevalent in the Roman Catholic church since Origen. </w:t>
      </w:r>
    </w:p>
    <w:p w:rsidR="00F84A76" w:rsidRPr="005249AC" w:rsidRDefault="00F84A76" w:rsidP="00F84A76">
      <w:pPr>
        <w:ind w:left="360" w:firstLine="720"/>
        <w:rPr>
          <w:rFonts w:ascii="Times New Roman" w:hAnsi="Times New Roman"/>
          <w:noProof/>
          <w:sz w:val="20"/>
          <w:szCs w:val="20"/>
        </w:rPr>
        <w:sectPr w:rsidR="00F84A76" w:rsidRPr="005249AC">
          <w:footerReference w:type="default" r:id="rId11"/>
          <w:pgSz w:w="12240" w:h="15840"/>
          <w:pgMar w:top="1440" w:right="1440" w:bottom="1440" w:left="1440" w:header="1440" w:footer="1440" w:gutter="0"/>
          <w:pgNumType w:start="89"/>
          <w:cols w:space="720"/>
          <w:noEndnote/>
        </w:sectPr>
      </w:pP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lastRenderedPageBreak/>
        <w:t xml:space="preserve"> </w:t>
      </w:r>
      <w:r w:rsidRPr="005249AC">
        <w:rPr>
          <w:rFonts w:ascii="Times New Roman" w:hAnsi="Times New Roman"/>
          <w:noProof/>
          <w:sz w:val="20"/>
          <w:szCs w:val="20"/>
        </w:rPr>
        <w:tab/>
        <w:t xml:space="preserve">In this chapter I shall investigate how Calvin dealt with the interpretation of Scripture of others from the perspective of his own distinctive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which he employed in his exegetical writings.</w:t>
      </w:r>
    </w:p>
    <w:p w:rsidR="00F84A76" w:rsidRPr="005249AC" w:rsidRDefault="00F84A76" w:rsidP="00F84A76">
      <w:pPr>
        <w:rPr>
          <w:rFonts w:ascii="Times New Roman" w:hAnsi="Times New Roman"/>
          <w:noProof/>
          <w:sz w:val="20"/>
          <w:szCs w:val="20"/>
        </w:rPr>
      </w:pPr>
    </w:p>
    <w:p w:rsidR="00F84A76" w:rsidRPr="005249AC" w:rsidRDefault="00F84A76" w:rsidP="00F84A76">
      <w:pPr>
        <w:ind w:firstLine="2880"/>
        <w:rPr>
          <w:rFonts w:ascii="Times New Roman" w:hAnsi="Times New Roman"/>
          <w:noProof/>
          <w:sz w:val="20"/>
          <w:szCs w:val="20"/>
        </w:rPr>
      </w:pPr>
      <w:r w:rsidRPr="005249AC">
        <w:rPr>
          <w:rFonts w:ascii="Times New Roman" w:hAnsi="Times New Roman"/>
          <w:noProof/>
          <w:sz w:val="20"/>
          <w:szCs w:val="20"/>
        </w:rPr>
        <w:t xml:space="preserve"> A. Origen</w:t>
      </w:r>
    </w:p>
    <w:p w:rsidR="00F84A76" w:rsidRPr="005249AC" w:rsidRDefault="00F84A76" w:rsidP="00F84A76">
      <w:pPr>
        <w:rPr>
          <w:rFonts w:ascii="Times New Roman" w:hAnsi="Times New Roman"/>
          <w:noProof/>
          <w:sz w:val="20"/>
          <w:szCs w:val="20"/>
        </w:rPr>
      </w:pP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A learned interpreter, creative philosopher, master of the spiritual life, and active churchman, Origen, was born in Alexandria of Christian parents around 185. He received a thorough Christian education in the home of his parents, and studied in the Catechetical School under Clement. During the persecution of Septimius Severus (202) his father, Leonides, was beheaded</w:t>
      </w:r>
      <w:r w:rsidRPr="005249AC">
        <w:rPr>
          <w:rFonts w:ascii="Times New Roman" w:hAnsi="Times New Roman"/>
          <w:noProof/>
          <w:sz w:val="20"/>
          <w:szCs w:val="20"/>
        </w:rPr>
        <w:footnoteReference w:id="2"/>
      </w:r>
      <w:r w:rsidRPr="005249AC">
        <w:rPr>
          <w:rFonts w:ascii="Times New Roman" w:hAnsi="Times New Roman"/>
          <w:noProof/>
          <w:sz w:val="20"/>
          <w:szCs w:val="20"/>
        </w:rPr>
        <w:t>. Then Origen was prevented from meeting martyrdom only by a trick of his mother, who concealed his clothes in order to compel him to remain at home</w:t>
      </w:r>
      <w:r w:rsidRPr="005249AC">
        <w:rPr>
          <w:rFonts w:ascii="Times New Roman" w:hAnsi="Times New Roman"/>
          <w:noProof/>
          <w:sz w:val="20"/>
          <w:szCs w:val="20"/>
        </w:rPr>
        <w:footnoteReference w:id="3"/>
      </w:r>
      <w:r w:rsidRPr="005249AC">
        <w:rPr>
          <w:rFonts w:ascii="Times New Roman" w:hAnsi="Times New Roman"/>
          <w:noProof/>
          <w:sz w:val="20"/>
          <w:szCs w:val="20"/>
        </w:rPr>
        <w:t xml:space="preserve">. Later Origen </w:t>
      </w:r>
      <w:r w:rsidRPr="005249AC">
        <w:rPr>
          <w:rFonts w:ascii="Times New Roman" w:hAnsi="Times New Roman"/>
          <w:noProof/>
          <w:sz w:val="20"/>
          <w:szCs w:val="20"/>
        </w:rPr>
        <w:lastRenderedPageBreak/>
        <w:t xml:space="preserve">took the place of his teacher, Clement, who had fled, as head of the Catechetical School. Origen's great work on Biblical criticism was the </w:t>
      </w:r>
      <w:r w:rsidRPr="005249AC">
        <w:rPr>
          <w:rFonts w:ascii="Times New Roman" w:hAnsi="Times New Roman"/>
          <w:i/>
          <w:iCs/>
          <w:noProof/>
          <w:sz w:val="20"/>
          <w:szCs w:val="20"/>
        </w:rPr>
        <w:t>Hexapla</w:t>
      </w:r>
      <w:r w:rsidRPr="005249AC">
        <w:rPr>
          <w:rFonts w:ascii="Times New Roman" w:hAnsi="Times New Roman"/>
          <w:noProof/>
          <w:sz w:val="20"/>
          <w:szCs w:val="20"/>
        </w:rPr>
        <w:t xml:space="preserve">, a study edition of the Old Testament, presenting in parallel columns the Hebrew text, a Greek transliteration, and translations of Aquila, Symmachus, the Septuagint, and Theodotion. Among his hermeneutical works are the </w:t>
      </w:r>
      <w:r w:rsidRPr="005249AC">
        <w:rPr>
          <w:rFonts w:ascii="Times New Roman" w:hAnsi="Times New Roman"/>
          <w:i/>
          <w:iCs/>
          <w:noProof/>
          <w:sz w:val="20"/>
          <w:szCs w:val="20"/>
        </w:rPr>
        <w:t>Scholia</w:t>
      </w:r>
      <w:r w:rsidRPr="005249AC">
        <w:rPr>
          <w:rFonts w:ascii="Times New Roman" w:hAnsi="Times New Roman"/>
          <w:noProof/>
          <w:sz w:val="20"/>
          <w:szCs w:val="20"/>
        </w:rPr>
        <w:t xml:space="preserve"> on Exodus, Leviticus, and Numbers, commentaries on almost all the books of Scripture, and many homilies. One of the most significant theological works of Origen was the </w:t>
      </w:r>
      <w:r w:rsidRPr="005249AC">
        <w:rPr>
          <w:rFonts w:ascii="Times New Roman" w:hAnsi="Times New Roman"/>
          <w:i/>
          <w:iCs/>
          <w:noProof/>
          <w:sz w:val="20"/>
          <w:szCs w:val="20"/>
        </w:rPr>
        <w:t>De Principiis</w:t>
      </w:r>
      <w:r w:rsidRPr="005249AC">
        <w:rPr>
          <w:rFonts w:ascii="Times New Roman" w:hAnsi="Times New Roman"/>
          <w:noProof/>
          <w:sz w:val="20"/>
          <w:szCs w:val="20"/>
        </w:rPr>
        <w:t xml:space="preserve"> (</w:t>
      </w:r>
      <w:r w:rsidRPr="005249AC">
        <w:rPr>
          <w:rFonts w:ascii="Times New Roman" w:hAnsi="Times New Roman"/>
          <w:i/>
          <w:iCs/>
          <w:noProof/>
          <w:sz w:val="20"/>
          <w:szCs w:val="20"/>
        </w:rPr>
        <w:t>On First Principle</w:t>
      </w:r>
      <w:r w:rsidRPr="005249AC">
        <w:rPr>
          <w:rFonts w:ascii="Times New Roman" w:hAnsi="Times New Roman"/>
          <w:noProof/>
          <w:sz w:val="20"/>
          <w:szCs w:val="20"/>
        </w:rPr>
        <w:t>), conceived as a systematic exposition of Christian doctrine in four books on God (the Father, Christ, and the Holy Spirit) and the heavenly beings, of man and the material world, of free will and its consequences, and of the inspiration and interpretation of Scripture.</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Origen believed that the Scriptures themselves are divine, that is, are inspired by the Spirit of God</w:t>
      </w:r>
      <w:r w:rsidRPr="005249AC">
        <w:rPr>
          <w:rFonts w:ascii="Times New Roman" w:hAnsi="Times New Roman"/>
          <w:noProof/>
          <w:sz w:val="20"/>
          <w:szCs w:val="20"/>
        </w:rPr>
        <w:footnoteReference w:id="4"/>
      </w:r>
      <w:r w:rsidRPr="005249AC">
        <w:rPr>
          <w:rFonts w:ascii="Times New Roman" w:hAnsi="Times New Roman"/>
          <w:noProof/>
          <w:sz w:val="20"/>
          <w:szCs w:val="20"/>
        </w:rPr>
        <w:t>. Origen also recognized that most of the narrative material in Scripture was historical, and that the literal meaning was useful for simple believers</w:t>
      </w:r>
      <w:r w:rsidRPr="005249AC">
        <w:rPr>
          <w:rFonts w:ascii="Times New Roman" w:hAnsi="Times New Roman"/>
          <w:noProof/>
          <w:sz w:val="20"/>
          <w:szCs w:val="20"/>
        </w:rPr>
        <w:footnoteReference w:id="5"/>
      </w:r>
      <w:r w:rsidRPr="005249AC">
        <w:rPr>
          <w:rFonts w:ascii="Times New Roman" w:hAnsi="Times New Roman"/>
          <w:noProof/>
          <w:sz w:val="20"/>
          <w:szCs w:val="20"/>
        </w:rPr>
        <w:t>. But his method of Scriptural interpretation became allegorical due to Philo's strong influence.</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Being under the influence of neoplatonism, Origen went on </w:t>
      </w:r>
      <w:r w:rsidRPr="005249AC">
        <w:rPr>
          <w:rFonts w:ascii="Times New Roman" w:hAnsi="Times New Roman"/>
          <w:noProof/>
          <w:sz w:val="20"/>
          <w:szCs w:val="20"/>
        </w:rPr>
        <w:tab/>
        <w:t xml:space="preserve">to accept the allegorical exegesis of Philo. Scripture </w:t>
      </w:r>
      <w:r w:rsidRPr="005249AC">
        <w:rPr>
          <w:rFonts w:ascii="Times New Roman" w:hAnsi="Times New Roman"/>
          <w:noProof/>
          <w:sz w:val="20"/>
          <w:szCs w:val="20"/>
        </w:rPr>
        <w:tab/>
        <w:t xml:space="preserve">was for him a mirror, which reflected the divinity </w:t>
      </w:r>
      <w:r w:rsidRPr="005249AC">
        <w:rPr>
          <w:rFonts w:ascii="Times New Roman" w:hAnsi="Times New Roman"/>
          <w:noProof/>
          <w:sz w:val="20"/>
          <w:szCs w:val="20"/>
        </w:rPr>
        <w:tab/>
        <w:t xml:space="preserve">sometimes darkly, sometimes brightly. A Key to the </w:t>
      </w:r>
      <w:r w:rsidRPr="005249AC">
        <w:rPr>
          <w:rFonts w:ascii="Times New Roman" w:hAnsi="Times New Roman"/>
          <w:noProof/>
          <w:sz w:val="20"/>
          <w:szCs w:val="20"/>
        </w:rPr>
        <w:tab/>
        <w:t>allegorization of Scripture was found in Proverbs 22, 20-</w:t>
      </w:r>
      <w:r w:rsidRPr="005249AC">
        <w:rPr>
          <w:rFonts w:ascii="Times New Roman" w:hAnsi="Times New Roman"/>
          <w:noProof/>
          <w:sz w:val="20"/>
          <w:szCs w:val="20"/>
        </w:rPr>
        <w:tab/>
        <w:t xml:space="preserve">21: 'Behold, I have ascribed it to thee three manner of </w:t>
      </w:r>
      <w:r w:rsidRPr="005249AC">
        <w:rPr>
          <w:rFonts w:ascii="Times New Roman" w:hAnsi="Times New Roman"/>
          <w:noProof/>
          <w:sz w:val="20"/>
          <w:szCs w:val="20"/>
        </w:rPr>
        <w:tab/>
        <w:t xml:space="preserve">ways, in thoughts and knowledge, that I might show thee </w:t>
      </w:r>
      <w:r w:rsidRPr="005249AC">
        <w:rPr>
          <w:rFonts w:ascii="Times New Roman" w:hAnsi="Times New Roman"/>
          <w:noProof/>
          <w:sz w:val="20"/>
          <w:szCs w:val="20"/>
        </w:rPr>
        <w:tab/>
        <w:t xml:space="preserve">the certainty, and the words of truth, to answer out of </w:t>
      </w:r>
      <w:r w:rsidRPr="005249AC">
        <w:rPr>
          <w:rFonts w:ascii="Times New Roman" w:hAnsi="Times New Roman"/>
          <w:noProof/>
          <w:sz w:val="20"/>
          <w:szCs w:val="20"/>
        </w:rPr>
        <w:tab/>
        <w:t>these to him who sent thee.</w:t>
      </w:r>
      <w:r w:rsidRPr="005249AC">
        <w:rPr>
          <w:rFonts w:ascii="Times New Roman" w:hAnsi="Times New Roman"/>
          <w:noProof/>
          <w:sz w:val="20"/>
          <w:szCs w:val="20"/>
        </w:rPr>
        <w:footnoteReference w:id="6"/>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Origen also based his vision of the threefold meaning of Scripture on Paul's threefold division of human personality in 1 Thessalonians 5:23, `spirit, soul, and body'. He believed that the meaning of a passage of Scripture might have a bodily or literal sense, a soul or moral sense, and a spiritual or allegorical sense. He described this view as follows;</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Each one must therefore portray the meaning of the</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 xml:space="preserve">divine writings in a threefold way upon his own soul; </w:t>
      </w:r>
      <w:r w:rsidRPr="005249AC">
        <w:rPr>
          <w:rFonts w:ascii="Times New Roman" w:hAnsi="Times New Roman"/>
          <w:noProof/>
          <w:sz w:val="20"/>
          <w:szCs w:val="20"/>
        </w:rPr>
        <w:tab/>
        <w:t xml:space="preserve">that is, so that the simple may be edified by what we may </w:t>
      </w:r>
      <w:r w:rsidRPr="005249AC">
        <w:rPr>
          <w:rFonts w:ascii="Times New Roman" w:hAnsi="Times New Roman"/>
          <w:noProof/>
          <w:sz w:val="20"/>
          <w:szCs w:val="20"/>
        </w:rPr>
        <w:tab/>
        <w:t xml:space="preserve">call the body of the Scriptures (for such is the name we </w:t>
      </w:r>
      <w:r w:rsidRPr="005249AC">
        <w:rPr>
          <w:rFonts w:ascii="Times New Roman" w:hAnsi="Times New Roman"/>
          <w:noProof/>
          <w:sz w:val="20"/>
          <w:szCs w:val="20"/>
        </w:rPr>
        <w:tab/>
        <w:t xml:space="preserve">may give to the common and literal interpretation); while </w:t>
      </w:r>
      <w:r w:rsidRPr="005249AC">
        <w:rPr>
          <w:rFonts w:ascii="Times New Roman" w:hAnsi="Times New Roman"/>
          <w:noProof/>
          <w:sz w:val="20"/>
          <w:szCs w:val="20"/>
        </w:rPr>
        <w:tab/>
        <w:t xml:space="preserve">those who have begun to make a little progress and are </w:t>
      </w:r>
      <w:r w:rsidRPr="005249AC">
        <w:rPr>
          <w:rFonts w:ascii="Times New Roman" w:hAnsi="Times New Roman"/>
          <w:noProof/>
          <w:sz w:val="20"/>
          <w:szCs w:val="20"/>
        </w:rPr>
        <w:tab/>
        <w:t xml:space="preserve">able to perceive something more than that may be edified </w:t>
      </w:r>
      <w:r w:rsidRPr="005249AC">
        <w:rPr>
          <w:rFonts w:ascii="Times New Roman" w:hAnsi="Times New Roman"/>
          <w:noProof/>
          <w:sz w:val="20"/>
          <w:szCs w:val="20"/>
        </w:rPr>
        <w:tab/>
        <w:t xml:space="preserve">by the soul of Scripture; and those who are perfect and </w:t>
      </w:r>
      <w:r w:rsidRPr="005249AC">
        <w:rPr>
          <w:rFonts w:ascii="Times New Roman" w:hAnsi="Times New Roman"/>
          <w:noProof/>
          <w:sz w:val="20"/>
          <w:szCs w:val="20"/>
        </w:rPr>
        <w:tab/>
        <w:t xml:space="preserve">like the men of whom the apostle says: 'We speak wisdom </w:t>
      </w:r>
      <w:r w:rsidRPr="005249AC">
        <w:rPr>
          <w:rFonts w:ascii="Times New Roman" w:hAnsi="Times New Roman"/>
          <w:noProof/>
          <w:sz w:val="20"/>
          <w:szCs w:val="20"/>
        </w:rPr>
        <w:tab/>
        <w:t xml:space="preserve">not of this world, nor of the rulers of this world, which </w:t>
      </w:r>
      <w:r w:rsidRPr="005249AC">
        <w:rPr>
          <w:rFonts w:ascii="Times New Roman" w:hAnsi="Times New Roman"/>
          <w:noProof/>
          <w:sz w:val="20"/>
          <w:szCs w:val="20"/>
        </w:rPr>
        <w:tab/>
        <w:t xml:space="preserve">are coming to nought; but we speak God's wisdom hidden in </w:t>
      </w:r>
      <w:r w:rsidRPr="005249AC">
        <w:rPr>
          <w:rFonts w:ascii="Times New Roman" w:hAnsi="Times New Roman"/>
          <w:noProof/>
          <w:sz w:val="20"/>
          <w:szCs w:val="20"/>
        </w:rPr>
        <w:tab/>
        <w:t xml:space="preserve">a mystery, the wisdom which God foreordained before the </w:t>
      </w:r>
      <w:r w:rsidRPr="005249AC">
        <w:rPr>
          <w:rFonts w:ascii="Times New Roman" w:hAnsi="Times New Roman"/>
          <w:noProof/>
          <w:sz w:val="20"/>
          <w:szCs w:val="20"/>
        </w:rPr>
        <w:tab/>
        <w:t xml:space="preserve">worlds unto our glory-such as these may be edified by </w:t>
      </w:r>
      <w:r w:rsidRPr="005249AC">
        <w:rPr>
          <w:rFonts w:ascii="Times New Roman" w:hAnsi="Times New Roman"/>
          <w:noProof/>
          <w:sz w:val="20"/>
          <w:szCs w:val="20"/>
        </w:rPr>
        <w:tab/>
        <w:t>that spiritual law, which has a `shadow of the good</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things to come,' as if by the Spirit. Just as man,</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therefore, is said to consist of body, soul and spirit,</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so also does the Holy Scripture, which has been bestowed</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by the divine bounty for man's salvation</w:t>
      </w:r>
      <w:r w:rsidRPr="005249AC">
        <w:rPr>
          <w:rFonts w:ascii="Times New Roman" w:hAnsi="Times New Roman"/>
          <w:noProof/>
          <w:sz w:val="20"/>
          <w:szCs w:val="20"/>
        </w:rPr>
        <w:footnoteReference w:id="7"/>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Origen emphasized the allegorical interpretation of Scripture in contrast to the Jews who understood the prophecies literally. "For the Jews, owing to their hardness of heart and their desire to appear wise in their own sight, have refused to believe in our Lord and Savior because they suppose that the prophecies that relate to him </w:t>
      </w:r>
      <w:r w:rsidRPr="005249AC">
        <w:rPr>
          <w:rFonts w:ascii="Times New Roman" w:hAnsi="Times New Roman"/>
          <w:noProof/>
          <w:sz w:val="20"/>
          <w:szCs w:val="20"/>
        </w:rPr>
        <w:lastRenderedPageBreak/>
        <w:t>must be understood literally.</w:t>
      </w:r>
      <w:r w:rsidRPr="005249AC">
        <w:rPr>
          <w:rFonts w:ascii="Times New Roman" w:hAnsi="Times New Roman"/>
          <w:noProof/>
          <w:sz w:val="20"/>
          <w:szCs w:val="20"/>
        </w:rPr>
        <w:footnoteReference w:id="8"/>
      </w:r>
      <w:r w:rsidRPr="005249AC">
        <w:rPr>
          <w:rFonts w:ascii="Times New Roman" w:hAnsi="Times New Roman"/>
          <w:noProof/>
          <w:sz w:val="20"/>
          <w:szCs w:val="20"/>
        </w:rPr>
        <w:t>" He interpreted Scripture without a sufficient balance between the `spiritual' meaning and the literal meaning, and developed the allegorical method of Scriptural interpretation to the extreme.</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Origen as the founder of allegorical interpretation had a great influence on the hermeneutics of the Fathers and the Middle Ages. His `threefold sense' was later transformed into the `fourfold sense' of the Fathers. The allegorical interpretation of Origen influenced the method of interpretation of the Alexandrian school, Augustine, and Aquinas. This principle was used by many interpreters of the Middle Ages: Gregory Thaumaturgus, the martyr Pamphilus, Athanasius, Didymus the Blind, Pierius, Theognostus, Hierax of Leontoplois, Eusebius of Vercellae, Eusebius of Caesarea, Firmilian, and Victorinus of Pettau</w:t>
      </w:r>
      <w:r w:rsidRPr="005249AC">
        <w:rPr>
          <w:rFonts w:ascii="Times New Roman" w:hAnsi="Times New Roman"/>
          <w:noProof/>
          <w:sz w:val="20"/>
          <w:szCs w:val="20"/>
        </w:rPr>
        <w:footnoteReference w:id="9"/>
      </w:r>
      <w:r w:rsidRPr="005249AC">
        <w:rPr>
          <w:rFonts w:ascii="Times New Roman" w:hAnsi="Times New Roman"/>
          <w:noProof/>
          <w:sz w:val="20"/>
          <w:szCs w:val="20"/>
        </w:rPr>
        <w:t>.</w:t>
      </w:r>
    </w:p>
    <w:p w:rsidR="00F84A76"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How did Calvin criticize Origen's allegorical interpretation? Calvin's attitude toward allegorical interpretation clearly appears in his </w:t>
      </w:r>
      <w:r w:rsidRPr="005249AC">
        <w:rPr>
          <w:rFonts w:ascii="Times New Roman" w:hAnsi="Times New Roman"/>
          <w:i/>
          <w:iCs/>
          <w:noProof/>
          <w:sz w:val="20"/>
          <w:szCs w:val="20"/>
        </w:rPr>
        <w:t>Institutes</w:t>
      </w:r>
      <w:r w:rsidRPr="005249AC">
        <w:rPr>
          <w:rFonts w:ascii="Times New Roman" w:hAnsi="Times New Roman"/>
          <w:noProof/>
          <w:sz w:val="20"/>
          <w:szCs w:val="20"/>
        </w:rPr>
        <w:t xml:space="preserve"> and commentaries. For example, in his </w:t>
      </w:r>
      <w:r w:rsidRPr="005249AC">
        <w:rPr>
          <w:rFonts w:ascii="Times New Roman" w:hAnsi="Times New Roman"/>
          <w:i/>
          <w:iCs/>
          <w:noProof/>
          <w:sz w:val="20"/>
          <w:szCs w:val="20"/>
        </w:rPr>
        <w:t>Institutes</w:t>
      </w:r>
      <w:r w:rsidRPr="005249AC">
        <w:rPr>
          <w:rFonts w:ascii="Times New Roman" w:hAnsi="Times New Roman"/>
          <w:noProof/>
          <w:sz w:val="20"/>
          <w:szCs w:val="20"/>
        </w:rPr>
        <w:t xml:space="preserve"> Calvin rejected allegorical interpretation as follows:</w:t>
      </w:r>
    </w:p>
    <w:p w:rsidR="00CF03B2" w:rsidRPr="005249AC" w:rsidRDefault="00CF03B2" w:rsidP="00F84A76">
      <w:pPr>
        <w:ind w:firstLine="720"/>
        <w:rPr>
          <w:rFonts w:ascii="Times New Roman" w:hAnsi="Times New Roman"/>
          <w:noProof/>
          <w:sz w:val="20"/>
          <w:szCs w:val="20"/>
        </w:rPr>
      </w:pP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First, suppose I do not want to accept their allegory. </w:t>
      </w:r>
      <w:r w:rsidRPr="005249AC">
        <w:rPr>
          <w:rFonts w:ascii="Times New Roman" w:hAnsi="Times New Roman"/>
          <w:noProof/>
          <w:sz w:val="20"/>
          <w:szCs w:val="20"/>
        </w:rPr>
        <w:tab/>
        <w:t xml:space="preserve">What pray, will they do? For no doubt the fathers divided </w:t>
      </w:r>
      <w:r w:rsidRPr="005249AC">
        <w:rPr>
          <w:rFonts w:ascii="Times New Roman" w:hAnsi="Times New Roman"/>
          <w:noProof/>
          <w:sz w:val="20"/>
          <w:szCs w:val="20"/>
        </w:rPr>
        <w:tab/>
        <w:t xml:space="preserve">this interpretation without regard to the true meaning </w:t>
      </w:r>
      <w:r w:rsidRPr="005249AC">
        <w:rPr>
          <w:rFonts w:ascii="Times New Roman" w:hAnsi="Times New Roman"/>
          <w:noProof/>
          <w:sz w:val="20"/>
          <w:szCs w:val="20"/>
        </w:rPr>
        <w:tab/>
        <w:t>of</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the Lord's words. Allegories ought not to go beyond the</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limits set by the rule of Scripture, let alone suffice as</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the foundation for any doctrines</w:t>
      </w:r>
      <w:r w:rsidRPr="005249AC">
        <w:rPr>
          <w:rFonts w:ascii="Times New Roman" w:hAnsi="Times New Roman"/>
          <w:noProof/>
          <w:sz w:val="20"/>
          <w:szCs w:val="20"/>
        </w:rPr>
        <w:footnoteReference w:id="10"/>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Here Calvin did not deny allegorical interpretation based on the `rule of Scripture', but rejected it in those cases where the true meaning of the text was twisted. </w:t>
      </w:r>
    </w:p>
    <w:p w:rsidR="00CF03B2" w:rsidRDefault="00F84A76" w:rsidP="00F84A76">
      <w:pPr>
        <w:ind w:firstLine="720"/>
        <w:rPr>
          <w:rFonts w:ascii="Times New Roman" w:hAnsi="Times New Roman"/>
          <w:noProof/>
          <w:sz w:val="20"/>
          <w:szCs w:val="20"/>
        </w:rPr>
      </w:pPr>
      <w:r w:rsidRPr="005249AC">
        <w:rPr>
          <w:rFonts w:ascii="Times New Roman" w:hAnsi="Times New Roman"/>
          <w:noProof/>
          <w:sz w:val="20"/>
          <w:szCs w:val="20"/>
        </w:rPr>
        <w:t>Calvin pointed out the weaknesses of Origen's allegorical interpretation.</w:t>
      </w:r>
    </w:p>
    <w:p w:rsidR="00CF03B2" w:rsidRDefault="00CF03B2" w:rsidP="00F84A76">
      <w:pPr>
        <w:ind w:firstLine="720"/>
        <w:rPr>
          <w:rFonts w:ascii="Times New Roman" w:hAnsi="Times New Roman"/>
          <w:noProof/>
          <w:sz w:val="20"/>
          <w:szCs w:val="20"/>
        </w:rPr>
      </w:pP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 First</w:t>
      </w:r>
      <w:r w:rsidRPr="00CF03B2">
        <w:rPr>
          <w:rFonts w:ascii="Times New Roman" w:hAnsi="Times New Roman"/>
          <w:noProof/>
          <w:color w:val="FF0000"/>
          <w:sz w:val="20"/>
          <w:szCs w:val="20"/>
        </w:rPr>
        <w:t>, Calvin criticized Origen for ignoring the literal sense of the text and `torturing' Scripture</w:t>
      </w:r>
      <w:r w:rsidRPr="005249AC">
        <w:rPr>
          <w:rFonts w:ascii="Times New Roman" w:hAnsi="Times New Roman"/>
          <w:noProof/>
          <w:sz w:val="20"/>
          <w:szCs w:val="20"/>
        </w:rPr>
        <w:t>.</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But as the apostle declares that these things are </w:t>
      </w:r>
      <w:r w:rsidRPr="005249AC">
        <w:rPr>
          <w:rFonts w:ascii="Times New Roman" w:hAnsi="Times New Roman"/>
          <w:noProof/>
          <w:sz w:val="20"/>
          <w:szCs w:val="20"/>
        </w:rPr>
        <w:tab/>
        <w:t xml:space="preserve">allegorized, Origen, and many others along with him, have </w:t>
      </w:r>
      <w:r w:rsidRPr="005249AC">
        <w:rPr>
          <w:rFonts w:ascii="Times New Roman" w:hAnsi="Times New Roman"/>
          <w:noProof/>
          <w:sz w:val="20"/>
          <w:szCs w:val="20"/>
        </w:rPr>
        <w:tab/>
        <w:t xml:space="preserve">seized the occasion of torturing Scripture, in every </w:t>
      </w:r>
      <w:r w:rsidRPr="005249AC">
        <w:rPr>
          <w:rFonts w:ascii="Times New Roman" w:hAnsi="Times New Roman"/>
          <w:noProof/>
          <w:sz w:val="20"/>
          <w:szCs w:val="20"/>
        </w:rPr>
        <w:tab/>
        <w:t xml:space="preserve">possible manner, away from the true sense. They concluded </w:t>
      </w:r>
      <w:r w:rsidRPr="005249AC">
        <w:rPr>
          <w:rFonts w:ascii="Times New Roman" w:hAnsi="Times New Roman"/>
          <w:noProof/>
          <w:sz w:val="20"/>
          <w:szCs w:val="20"/>
        </w:rPr>
        <w:tab/>
        <w:t xml:space="preserve">that the literal sense is too mean and poor, and that, </w:t>
      </w:r>
      <w:r w:rsidRPr="005249AC">
        <w:rPr>
          <w:rFonts w:ascii="Times New Roman" w:hAnsi="Times New Roman"/>
          <w:noProof/>
          <w:sz w:val="20"/>
          <w:szCs w:val="20"/>
        </w:rPr>
        <w:tab/>
        <w:t xml:space="preserve">under the outer bark of the letter, there lurk deeper </w:t>
      </w:r>
      <w:r w:rsidRPr="005249AC">
        <w:rPr>
          <w:rFonts w:ascii="Times New Roman" w:hAnsi="Times New Roman"/>
          <w:noProof/>
          <w:sz w:val="20"/>
          <w:szCs w:val="20"/>
        </w:rPr>
        <w:tab/>
        <w:t xml:space="preserve">mysteries, which cannot be extracted but by beating out </w:t>
      </w:r>
      <w:r w:rsidRPr="005249AC">
        <w:rPr>
          <w:rFonts w:ascii="Times New Roman" w:hAnsi="Times New Roman"/>
          <w:noProof/>
          <w:sz w:val="20"/>
          <w:szCs w:val="20"/>
        </w:rPr>
        <w:tab/>
        <w:t>allegories</w:t>
      </w:r>
      <w:r w:rsidRPr="005249AC">
        <w:rPr>
          <w:rFonts w:ascii="Times New Roman" w:hAnsi="Times New Roman"/>
          <w:noProof/>
          <w:sz w:val="20"/>
          <w:szCs w:val="20"/>
        </w:rPr>
        <w:footnoteReference w:id="11"/>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For Origen the literal meaning of the text was `too mean and poor'. It was not very important for him. He, therefore, used the allegorical method to find the deeper mysterious truths of Scripture. It was wrong for Origen to think that the deeper mysterious sense of a passage was better than the simple and literal sense. Calvin indicated that Origen forced or twisted the simple text of Scripture. Calvin wanted an interpreter to explain the text literally without twisting it. I name this the avoidance of forced interpretation, one of the most important elements of the ideal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because it emphasizes the clear and simple meaning of the text. He, therefore, clearly rejected the allegorical interpretation with his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Calvin also pointed out that Origen's allegorical interpretation went away from the true sense of the text of Scripture. For Calvin the true meaning of the text was to reveal the intention of an author (</w:t>
      </w:r>
      <w:r w:rsidRPr="005249AC">
        <w:rPr>
          <w:rFonts w:ascii="Times New Roman" w:hAnsi="Times New Roman"/>
          <w:i/>
          <w:iCs/>
          <w:noProof/>
          <w:sz w:val="20"/>
          <w:szCs w:val="20"/>
        </w:rPr>
        <w:t>mentem scriptoris</w:t>
      </w:r>
      <w:r w:rsidRPr="005249AC">
        <w:rPr>
          <w:rFonts w:ascii="Times New Roman" w:hAnsi="Times New Roman"/>
          <w:noProof/>
          <w:sz w:val="20"/>
          <w:szCs w:val="20"/>
        </w:rPr>
        <w:t xml:space="preserve">). Therefore Origen's allegorical interpretation which did not show the true sense of the text of Scripture formed a striking contrast to Calvin's method revealing the mind of the author by employing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 xml:space="preserve">Secondly, Calvin blamed Origen for insisting on </w:t>
      </w:r>
      <w:r w:rsidRPr="00CF03B2">
        <w:rPr>
          <w:rFonts w:ascii="Times New Roman" w:hAnsi="Times New Roman"/>
          <w:noProof/>
          <w:color w:val="FF0000"/>
          <w:sz w:val="20"/>
          <w:szCs w:val="20"/>
        </w:rPr>
        <w:t>the various meanings of one passage.</w:t>
      </w:r>
      <w:r w:rsidRPr="005249AC">
        <w:rPr>
          <w:rFonts w:ascii="Times New Roman" w:hAnsi="Times New Roman"/>
          <w:noProof/>
          <w:sz w:val="20"/>
          <w:szCs w:val="20"/>
        </w:rPr>
        <w:t xml:space="preserve"> </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Scripture, they say, is fertile, and thus produces a </w:t>
      </w:r>
      <w:r w:rsidRPr="005249AC">
        <w:rPr>
          <w:rFonts w:ascii="Times New Roman" w:hAnsi="Times New Roman"/>
          <w:noProof/>
          <w:sz w:val="20"/>
          <w:szCs w:val="20"/>
        </w:rPr>
        <w:tab/>
        <w:t xml:space="preserve">variety of meanings. I acknowledge that Scripture is a </w:t>
      </w:r>
      <w:r w:rsidRPr="005249AC">
        <w:rPr>
          <w:rFonts w:ascii="Times New Roman" w:hAnsi="Times New Roman"/>
          <w:noProof/>
          <w:sz w:val="20"/>
          <w:szCs w:val="20"/>
        </w:rPr>
        <w:tab/>
        <w:t xml:space="preserve">most rich and inexhaustible fountain of all wisdom; but I </w:t>
      </w:r>
      <w:r w:rsidRPr="005249AC">
        <w:rPr>
          <w:rFonts w:ascii="Times New Roman" w:hAnsi="Times New Roman"/>
          <w:noProof/>
          <w:sz w:val="20"/>
          <w:szCs w:val="20"/>
        </w:rPr>
        <w:tab/>
        <w:t xml:space="preserve">deny that its fertility consists in the various meanings </w:t>
      </w:r>
      <w:r w:rsidRPr="005249AC">
        <w:rPr>
          <w:rFonts w:ascii="Times New Roman" w:hAnsi="Times New Roman"/>
          <w:noProof/>
          <w:sz w:val="20"/>
          <w:szCs w:val="20"/>
        </w:rPr>
        <w:tab/>
        <w:t xml:space="preserve">which any man, at his pleasure, may assign. Let us know, </w:t>
      </w:r>
      <w:r w:rsidRPr="005249AC">
        <w:rPr>
          <w:rFonts w:ascii="Times New Roman" w:hAnsi="Times New Roman"/>
          <w:noProof/>
          <w:sz w:val="20"/>
          <w:szCs w:val="20"/>
        </w:rPr>
        <w:tab/>
        <w:t xml:space="preserve">then, that the true meaning of </w:t>
      </w:r>
      <w:r w:rsidRPr="005249AC">
        <w:rPr>
          <w:rFonts w:ascii="Times New Roman" w:hAnsi="Times New Roman"/>
          <w:noProof/>
          <w:sz w:val="20"/>
          <w:szCs w:val="20"/>
        </w:rPr>
        <w:lastRenderedPageBreak/>
        <w:t xml:space="preserve">Scripture is the natural </w:t>
      </w:r>
      <w:r w:rsidRPr="005249AC">
        <w:rPr>
          <w:rFonts w:ascii="Times New Roman" w:hAnsi="Times New Roman"/>
          <w:noProof/>
          <w:sz w:val="20"/>
          <w:szCs w:val="20"/>
        </w:rPr>
        <w:tab/>
        <w:t>and obvious meaning</w:t>
      </w:r>
      <w:r w:rsidRPr="005249AC">
        <w:rPr>
          <w:rFonts w:ascii="Times New Roman" w:hAnsi="Times New Roman"/>
          <w:noProof/>
          <w:sz w:val="20"/>
          <w:szCs w:val="20"/>
        </w:rPr>
        <w:footnoteReference w:id="12"/>
      </w:r>
      <w:r w:rsidRPr="005249AC">
        <w:rPr>
          <w:rFonts w:ascii="Times New Roman" w:hAnsi="Times New Roman"/>
          <w:noProof/>
          <w:sz w:val="20"/>
          <w:szCs w:val="20"/>
        </w:rPr>
        <w:t>.</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For Calvin the rich wisdom of Scripture did not mean that a text had various senses. Calvin pointed out that Origen's threefold meaning of the text did not have the basis of the historical-grammatical method. In stead of insisting on the various meanings of the text, Calvin showed that the true sense of the text was the natural and obvious meaning.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according to Calvin, were to present his readers the natural and clear meaning of the text. </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Thirdly, Calvin argued that the starting point of Origen's allegorical interpretation applied </w:t>
      </w:r>
      <w:r w:rsidRPr="00CF03B2">
        <w:rPr>
          <w:rFonts w:ascii="Times New Roman" w:hAnsi="Times New Roman"/>
          <w:noProof/>
          <w:color w:val="FF0000"/>
          <w:sz w:val="20"/>
          <w:szCs w:val="20"/>
        </w:rPr>
        <w:t>the terms letter and spirit</w:t>
      </w:r>
      <w:r w:rsidRPr="005249AC">
        <w:rPr>
          <w:rFonts w:ascii="Times New Roman" w:hAnsi="Times New Roman"/>
          <w:noProof/>
          <w:sz w:val="20"/>
          <w:szCs w:val="20"/>
        </w:rPr>
        <w:t xml:space="preserve"> in 2 Cor. 3:6 incorrectly to the principles of Scriptural interpretation. In the interpretation of the passage "for the letter killeth" in 2 Cor. 3:6, Calvin criticized Origen for developing his allegorical principle. "The terms letter and spirit, therefore, do not refer to the exposition of the word, but to its influence and fruit.</w:t>
      </w:r>
      <w:r w:rsidRPr="005249AC">
        <w:rPr>
          <w:rFonts w:ascii="Times New Roman" w:hAnsi="Times New Roman"/>
          <w:noProof/>
          <w:sz w:val="20"/>
          <w:szCs w:val="20"/>
        </w:rPr>
        <w:footnoteReference w:id="13"/>
      </w:r>
      <w:r w:rsidRPr="005249AC">
        <w:rPr>
          <w:rFonts w:ascii="Times New Roman" w:hAnsi="Times New Roman"/>
          <w:noProof/>
          <w:sz w:val="20"/>
          <w:szCs w:val="20"/>
        </w:rPr>
        <w:t xml:space="preserve">" Here Calvin maintained that </w:t>
      </w:r>
      <w:r w:rsidRPr="00CF03B2">
        <w:rPr>
          <w:rFonts w:ascii="Times New Roman" w:hAnsi="Times New Roman"/>
          <w:noProof/>
          <w:color w:val="FF0000"/>
          <w:sz w:val="20"/>
          <w:szCs w:val="20"/>
        </w:rPr>
        <w:t>the key point of Origen's principle of allegorical interpretation originated from a mistaken interpretation of Scripture</w:t>
      </w:r>
      <w:r w:rsidRPr="005249AC">
        <w:rPr>
          <w:rFonts w:ascii="Times New Roman" w:hAnsi="Times New Roman"/>
          <w:noProof/>
          <w:sz w:val="20"/>
          <w:szCs w:val="20"/>
        </w:rPr>
        <w:t xml:space="preserve">. Grasping the wrong point of Origen's hermeneutical method, and confirming that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were based on Scripture itself, Calvin clearly could employ these ideals in  interpreting the text of Scripture. In fact, Calvin was the first interpreter who broke with the old method of the pre-Reformation interpreting the text by means of a sharp contrast between letter and spirit. Calvin, therefore, rejected Origen's allegorical interpretation, for, according to him, this method perverted the true sense of Scriptur</w:t>
      </w:r>
      <w:r w:rsidRPr="005249AC">
        <w:rPr>
          <w:rFonts w:ascii="Times New Roman" w:hAnsi="Times New Roman"/>
          <w:noProof/>
          <w:sz w:val="20"/>
          <w:szCs w:val="20"/>
        </w:rPr>
        <w:footnoteReference w:id="14"/>
      </w:r>
      <w:r w:rsidRPr="005249AC">
        <w:rPr>
          <w:rFonts w:ascii="Times New Roman" w:hAnsi="Times New Roman"/>
          <w:noProof/>
          <w:sz w:val="20"/>
          <w:szCs w:val="20"/>
        </w:rPr>
        <w:t>e and did not show its natural and clear meaning.</w:t>
      </w:r>
    </w:p>
    <w:p w:rsidR="00F84A76" w:rsidRPr="005249AC" w:rsidRDefault="00F84A76" w:rsidP="00F84A76">
      <w:pPr>
        <w:pStyle w:val="1"/>
        <w:rPr>
          <w:rFonts w:ascii="Times New Roman" w:hAnsi="Times New Roman" w:cs="Times New Roman"/>
          <w:noProof/>
          <w:sz w:val="20"/>
          <w:szCs w:val="20"/>
        </w:rPr>
      </w:pPr>
    </w:p>
    <w:p w:rsidR="00F84A76" w:rsidRPr="005249AC" w:rsidRDefault="00F84A76" w:rsidP="00F84A76">
      <w:pPr>
        <w:pStyle w:val="1"/>
        <w:rPr>
          <w:rFonts w:ascii="Times New Roman" w:hAnsi="Times New Roman" w:cs="Times New Roman"/>
          <w:noProof/>
          <w:sz w:val="20"/>
          <w:szCs w:val="20"/>
        </w:rPr>
      </w:pPr>
      <w:r w:rsidRPr="005249AC">
        <w:rPr>
          <w:rFonts w:ascii="Times New Roman" w:hAnsi="Times New Roman" w:cs="Times New Roman"/>
          <w:noProof/>
          <w:sz w:val="20"/>
          <w:szCs w:val="20"/>
        </w:rPr>
        <w:t>B. Ambrose</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b/>
          <w:bCs/>
          <w:color w:val="252525"/>
          <w:sz w:val="20"/>
          <w:szCs w:val="20"/>
        </w:rPr>
        <w:t>Aurelius Ambrosius</w:t>
      </w:r>
      <w:r w:rsidRPr="005249AC">
        <w:rPr>
          <w:rFonts w:ascii="Times New Roman" w:hAnsi="Times New Roman" w:cs="Times New Roman"/>
          <w:color w:val="252525"/>
          <w:sz w:val="20"/>
          <w:szCs w:val="20"/>
        </w:rPr>
        <w:t>, better known in English as</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b/>
          <w:bCs/>
          <w:color w:val="252525"/>
          <w:sz w:val="20"/>
          <w:szCs w:val="20"/>
        </w:rPr>
        <w:t>Saint Ambrose</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w:t>
      </w:r>
      <w:hyperlink r:id="rId12" w:tooltip="Help:IPA for English" w:history="1">
        <w:r w:rsidRPr="005249AC">
          <w:rPr>
            <w:rStyle w:val="a6"/>
            <w:rFonts w:ascii="Times New Roman" w:hAnsi="Times New Roman"/>
            <w:color w:val="0B0080"/>
            <w:sz w:val="20"/>
            <w:szCs w:val="20"/>
          </w:rPr>
          <w:t>/ˈæmbroʊz/</w:t>
        </w:r>
      </w:hyperlink>
      <w:r w:rsidRPr="005249AC">
        <w:rPr>
          <w:rFonts w:ascii="Times New Roman" w:hAnsi="Times New Roman" w:cs="Times New Roman"/>
          <w:color w:val="252525"/>
          <w:sz w:val="20"/>
          <w:szCs w:val="20"/>
        </w:rPr>
        <w:t>; c. 340 – 4 April 397), was a</w:t>
      </w:r>
      <w:r w:rsidRPr="005249AC">
        <w:rPr>
          <w:rStyle w:val="apple-converted-space"/>
          <w:rFonts w:ascii="Times New Roman" w:hAnsi="Times New Roman" w:cs="Times New Roman"/>
          <w:color w:val="252525"/>
          <w:sz w:val="20"/>
          <w:szCs w:val="20"/>
        </w:rPr>
        <w:t> </w:t>
      </w:r>
      <w:hyperlink r:id="rId13" w:tooltip="Roman Catholic Archdiocese of Milan" w:history="1">
        <w:r w:rsidRPr="005249AC">
          <w:rPr>
            <w:rStyle w:val="a6"/>
            <w:rFonts w:ascii="Times New Roman" w:hAnsi="Times New Roman"/>
            <w:color w:val="0B0080"/>
            <w:sz w:val="20"/>
            <w:szCs w:val="20"/>
          </w:rPr>
          <w:t>bishop of Milan</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who became one of the most influential ecclesiastical figures of the 4th century. He was</w:t>
      </w:r>
      <w:r w:rsidRPr="005249AC">
        <w:rPr>
          <w:rStyle w:val="apple-converted-space"/>
          <w:rFonts w:ascii="Times New Roman" w:hAnsi="Times New Roman" w:cs="Times New Roman"/>
          <w:color w:val="252525"/>
          <w:sz w:val="20"/>
          <w:szCs w:val="20"/>
        </w:rPr>
        <w:t> </w:t>
      </w:r>
      <w:hyperlink r:id="rId14" w:tooltip="Consular prefect" w:history="1">
        <w:r w:rsidRPr="005249AC">
          <w:rPr>
            <w:rStyle w:val="a6"/>
            <w:rFonts w:ascii="Times New Roman" w:hAnsi="Times New Roman"/>
            <w:color w:val="0B0080"/>
            <w:sz w:val="20"/>
            <w:szCs w:val="20"/>
          </w:rPr>
          <w:t>consular prefect</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w:t>
      </w:r>
      <w:r w:rsidRPr="005249AC">
        <w:rPr>
          <w:rStyle w:val="apple-converted-space"/>
          <w:rFonts w:ascii="Times New Roman" w:hAnsi="Times New Roman" w:cs="Times New Roman"/>
          <w:color w:val="252525"/>
          <w:sz w:val="20"/>
          <w:szCs w:val="20"/>
        </w:rPr>
        <w:t> </w:t>
      </w:r>
      <w:hyperlink r:id="rId15" w:tooltip="Liguria" w:history="1">
        <w:r w:rsidRPr="005249AC">
          <w:rPr>
            <w:rStyle w:val="a6"/>
            <w:rFonts w:ascii="Times New Roman" w:hAnsi="Times New Roman"/>
            <w:color w:val="0B0080"/>
            <w:sz w:val="20"/>
            <w:szCs w:val="20"/>
          </w:rPr>
          <w:t>Liguria</w:t>
        </w:r>
      </w:hyperlink>
      <w:r w:rsidRPr="005249AC">
        <w:rPr>
          <w:rFonts w:ascii="Times New Roman" w:hAnsi="Times New Roman" w:cs="Times New Roman"/>
          <w:color w:val="252525"/>
          <w:sz w:val="20"/>
          <w:szCs w:val="20"/>
        </w:rPr>
        <w:t>and</w:t>
      </w:r>
      <w:r w:rsidRPr="005249AC">
        <w:rPr>
          <w:rStyle w:val="apple-converted-space"/>
          <w:rFonts w:ascii="Times New Roman" w:hAnsi="Times New Roman" w:cs="Times New Roman"/>
          <w:color w:val="252525"/>
          <w:sz w:val="20"/>
          <w:szCs w:val="20"/>
        </w:rPr>
        <w:t> </w:t>
      </w:r>
      <w:hyperlink r:id="rId16" w:tooltip="Emilia (region of Italy)" w:history="1">
        <w:r w:rsidRPr="005249AC">
          <w:rPr>
            <w:rStyle w:val="a6"/>
            <w:rFonts w:ascii="Times New Roman" w:hAnsi="Times New Roman"/>
            <w:color w:val="0B0080"/>
            <w:sz w:val="20"/>
            <w:szCs w:val="20"/>
          </w:rPr>
          <w:t>Emilia</w:t>
        </w:r>
      </w:hyperlink>
      <w:r w:rsidRPr="005249AC">
        <w:rPr>
          <w:rFonts w:ascii="Times New Roman" w:hAnsi="Times New Roman" w:cs="Times New Roman"/>
          <w:color w:val="252525"/>
          <w:sz w:val="20"/>
          <w:szCs w:val="20"/>
        </w:rPr>
        <w:t>, headquartered in Milan, before being made bishop of Milan by popular acclamation in 374. Ambrose was a staunch opponent of</w:t>
      </w:r>
      <w:r w:rsidRPr="005249AC">
        <w:rPr>
          <w:rStyle w:val="apple-converted-space"/>
          <w:rFonts w:ascii="Times New Roman" w:hAnsi="Times New Roman" w:cs="Times New Roman"/>
          <w:color w:val="252525"/>
          <w:sz w:val="20"/>
          <w:szCs w:val="20"/>
        </w:rPr>
        <w:t> </w:t>
      </w:r>
      <w:hyperlink r:id="rId17" w:tooltip="Arianism" w:history="1">
        <w:r w:rsidRPr="005249AC">
          <w:rPr>
            <w:rStyle w:val="a6"/>
            <w:rFonts w:ascii="Times New Roman" w:hAnsi="Times New Roman"/>
            <w:color w:val="0B0080"/>
            <w:sz w:val="20"/>
            <w:szCs w:val="20"/>
          </w:rPr>
          <w:t>Arianism</w:t>
        </w:r>
      </w:hyperlink>
      <w:r w:rsidRPr="005249AC">
        <w:rPr>
          <w:rFonts w:ascii="Times New Roman" w:hAnsi="Times New Roman" w:cs="Times New Roman"/>
          <w:color w:val="252525"/>
          <w:sz w:val="20"/>
          <w:szCs w:val="20"/>
        </w:rPr>
        <w:t>,</w:t>
      </w:r>
      <w:r w:rsidRPr="005249AC">
        <w:rPr>
          <w:rStyle w:val="a3"/>
          <w:rFonts w:ascii="Times New Roman" w:hAnsi="Times New Roman" w:cs="Times New Roman"/>
          <w:color w:val="252525"/>
          <w:sz w:val="20"/>
          <w:szCs w:val="20"/>
        </w:rPr>
        <w:footnoteReference w:id="15"/>
      </w:r>
      <w:r w:rsidRPr="005249AC">
        <w:rPr>
          <w:rFonts w:ascii="Times New Roman" w:hAnsi="Times New Roman" w:cs="Times New Roman"/>
          <w:color w:val="252525"/>
          <w:sz w:val="20"/>
          <w:szCs w:val="20"/>
        </w:rPr>
        <w:t xml:space="preserve"> and has been accused of fostering persecutions of Arians,</w:t>
      </w:r>
      <w:r w:rsidRPr="005249AC">
        <w:rPr>
          <w:rStyle w:val="apple-converted-space"/>
          <w:rFonts w:ascii="Times New Roman" w:hAnsi="Times New Roman" w:cs="Times New Roman"/>
          <w:color w:val="252525"/>
          <w:sz w:val="20"/>
          <w:szCs w:val="20"/>
        </w:rPr>
        <w:t> </w:t>
      </w:r>
      <w:hyperlink r:id="rId18" w:tooltip="Jew" w:history="1">
        <w:r w:rsidRPr="005249AC">
          <w:rPr>
            <w:rStyle w:val="a6"/>
            <w:rFonts w:ascii="Times New Roman" w:hAnsi="Times New Roman"/>
            <w:color w:val="0B0080"/>
            <w:sz w:val="20"/>
            <w:szCs w:val="20"/>
          </w:rPr>
          <w:t>Jews</w:t>
        </w:r>
      </w:hyperlink>
      <w:r w:rsidRPr="005249AC">
        <w:rPr>
          <w:rFonts w:ascii="Times New Roman" w:hAnsi="Times New Roman" w:cs="Times New Roman"/>
          <w:color w:val="252525"/>
          <w:sz w:val="20"/>
          <w:szCs w:val="20"/>
        </w:rPr>
        <w:t>, and</w:t>
      </w:r>
      <w:r w:rsidRPr="005249AC">
        <w:rPr>
          <w:rStyle w:val="apple-converted-space"/>
          <w:rFonts w:ascii="Times New Roman" w:hAnsi="Times New Roman" w:cs="Times New Roman"/>
          <w:color w:val="252525"/>
          <w:sz w:val="20"/>
          <w:szCs w:val="20"/>
        </w:rPr>
        <w:t> </w:t>
      </w:r>
      <w:hyperlink r:id="rId19" w:tooltip="Pagan" w:history="1">
        <w:r w:rsidRPr="005249AC">
          <w:rPr>
            <w:rStyle w:val="a6"/>
            <w:rFonts w:ascii="Times New Roman" w:hAnsi="Times New Roman"/>
            <w:color w:val="0B0080"/>
            <w:sz w:val="20"/>
            <w:szCs w:val="20"/>
          </w:rPr>
          <w:t>pagans</w:t>
        </w:r>
      </w:hyperlink>
      <w:r w:rsidRPr="005249AC">
        <w:rPr>
          <w:rFonts w:ascii="Times New Roman" w:hAnsi="Times New Roman" w:cs="Times New Roman"/>
          <w:color w:val="252525"/>
          <w:sz w:val="20"/>
          <w:szCs w:val="20"/>
        </w:rPr>
        <w:t>. Traditionally, Ambrose is credited with promoting "antiphonal chant", a style of chanting in which one side of the choir responds alternately to the other, as well as with composing</w:t>
      </w:r>
      <w:r w:rsidRPr="005249AC">
        <w:rPr>
          <w:rStyle w:val="apple-converted-space"/>
          <w:rFonts w:ascii="Times New Roman" w:hAnsi="Times New Roman" w:cs="Times New Roman"/>
          <w:color w:val="252525"/>
          <w:sz w:val="20"/>
          <w:szCs w:val="20"/>
        </w:rPr>
        <w:t> </w:t>
      </w:r>
      <w:hyperlink r:id="rId20" w:tooltip="Veni redemptor gentium" w:history="1">
        <w:r w:rsidRPr="005249AC">
          <w:rPr>
            <w:rStyle w:val="a6"/>
            <w:rFonts w:ascii="Times New Roman" w:hAnsi="Times New Roman"/>
            <w:i/>
            <w:iCs/>
            <w:color w:val="0B0080"/>
            <w:sz w:val="20"/>
            <w:szCs w:val="20"/>
          </w:rPr>
          <w:t>Veni redemptor gentium</w:t>
        </w:r>
      </w:hyperlink>
      <w:r w:rsidRPr="005249AC">
        <w:rPr>
          <w:rFonts w:ascii="Times New Roman" w:hAnsi="Times New Roman" w:cs="Times New Roman"/>
          <w:color w:val="252525"/>
          <w:sz w:val="20"/>
          <w:szCs w:val="20"/>
        </w:rPr>
        <w:t>, a</w:t>
      </w:r>
      <w:r w:rsidRPr="005249AC">
        <w:rPr>
          <w:rStyle w:val="apple-converted-space"/>
          <w:rFonts w:ascii="Times New Roman" w:hAnsi="Times New Roman" w:cs="Times New Roman"/>
          <w:color w:val="252525"/>
          <w:sz w:val="20"/>
          <w:szCs w:val="20"/>
        </w:rPr>
        <w:t> </w:t>
      </w:r>
      <w:hyperlink r:id="rId21" w:tooltip="Advent" w:history="1">
        <w:r w:rsidRPr="005249AC">
          <w:rPr>
            <w:rStyle w:val="a6"/>
            <w:rFonts w:ascii="Times New Roman" w:hAnsi="Times New Roman"/>
            <w:color w:val="0B0080"/>
            <w:sz w:val="20"/>
            <w:szCs w:val="20"/>
          </w:rPr>
          <w:t>Advent</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hymn. Ambrose was one of the four original</w:t>
      </w:r>
      <w:r w:rsidRPr="005249AC">
        <w:rPr>
          <w:rStyle w:val="apple-converted-space"/>
          <w:rFonts w:ascii="Times New Roman" w:hAnsi="Times New Roman" w:cs="Times New Roman"/>
          <w:color w:val="252525"/>
          <w:sz w:val="20"/>
          <w:szCs w:val="20"/>
        </w:rPr>
        <w:t> </w:t>
      </w:r>
      <w:hyperlink r:id="rId22" w:tooltip="Doctors of the Church" w:history="1">
        <w:r w:rsidRPr="005249AC">
          <w:rPr>
            <w:rStyle w:val="a6"/>
            <w:rFonts w:ascii="Times New Roman" w:hAnsi="Times New Roman"/>
            <w:color w:val="0B0080"/>
            <w:sz w:val="20"/>
            <w:szCs w:val="20"/>
          </w:rPr>
          <w:t>doctors of the Church</w:t>
        </w:r>
      </w:hyperlink>
      <w:r w:rsidRPr="005249AC">
        <w:rPr>
          <w:rFonts w:ascii="Times New Roman" w:hAnsi="Times New Roman" w:cs="Times New Roman"/>
          <w:color w:val="252525"/>
          <w:sz w:val="20"/>
          <w:szCs w:val="20"/>
        </w:rPr>
        <w:t>, and is the</w:t>
      </w:r>
      <w:r w:rsidRPr="005249AC">
        <w:rPr>
          <w:rStyle w:val="apple-converted-space"/>
          <w:rFonts w:ascii="Times New Roman" w:hAnsi="Times New Roman" w:cs="Times New Roman"/>
          <w:color w:val="252525"/>
          <w:sz w:val="20"/>
          <w:szCs w:val="20"/>
        </w:rPr>
        <w:t> </w:t>
      </w:r>
      <w:hyperlink r:id="rId23" w:tooltip="Patron saint" w:history="1">
        <w:r w:rsidRPr="005249AC">
          <w:rPr>
            <w:rStyle w:val="a6"/>
            <w:rFonts w:ascii="Times New Roman" w:hAnsi="Times New Roman"/>
            <w:color w:val="0B0080"/>
            <w:sz w:val="20"/>
            <w:szCs w:val="20"/>
          </w:rPr>
          <w:t>patron saint</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 Milan. He is notable for his influence on</w:t>
      </w:r>
      <w:r w:rsidRPr="005249AC">
        <w:rPr>
          <w:rStyle w:val="apple-converted-space"/>
          <w:rFonts w:ascii="Times New Roman" w:hAnsi="Times New Roman" w:cs="Times New Roman"/>
          <w:color w:val="252525"/>
          <w:sz w:val="20"/>
          <w:szCs w:val="20"/>
        </w:rPr>
        <w:t> </w:t>
      </w:r>
      <w:hyperlink r:id="rId24" w:tooltip="St. Augustine" w:history="1">
        <w:r w:rsidRPr="005249AC">
          <w:rPr>
            <w:rStyle w:val="a6"/>
            <w:rFonts w:ascii="Times New Roman" w:hAnsi="Times New Roman"/>
            <w:color w:val="0B0080"/>
            <w:sz w:val="20"/>
            <w:szCs w:val="20"/>
          </w:rPr>
          <w:t>St. Augustine</w:t>
        </w:r>
      </w:hyperlink>
      <w:r w:rsidRPr="005249AC">
        <w:rPr>
          <w:rFonts w:ascii="Times New Roman" w:hAnsi="Times New Roman" w:cs="Times New Roman"/>
          <w:color w:val="252525"/>
          <w:sz w:val="20"/>
          <w:szCs w:val="20"/>
        </w:rPr>
        <w:t>.</w:t>
      </w:r>
    </w:p>
    <w:p w:rsidR="00F84A76" w:rsidRPr="005249AC" w:rsidRDefault="00F84A76" w:rsidP="00F84A76">
      <w:pPr>
        <w:spacing w:line="480" w:lineRule="auto"/>
        <w:rPr>
          <w:rStyle w:val="apple-converted-space"/>
          <w:rFonts w:ascii="Times New Roman" w:hAnsi="Times New Roman"/>
          <w:color w:val="252525"/>
          <w:sz w:val="20"/>
          <w:szCs w:val="20"/>
          <w:shd w:val="clear" w:color="auto" w:fill="FFFFFF"/>
        </w:rPr>
      </w:pPr>
      <w:r w:rsidRPr="005249AC">
        <w:rPr>
          <w:rFonts w:ascii="Times New Roman" w:hAnsi="Times New Roman"/>
          <w:color w:val="252525"/>
          <w:sz w:val="20"/>
          <w:szCs w:val="20"/>
          <w:shd w:val="clear" w:color="auto" w:fill="FFFFFF"/>
        </w:rPr>
        <w:lastRenderedPageBreak/>
        <w:t>Ambrose was born into a</w:t>
      </w:r>
      <w:r w:rsidRPr="005249AC">
        <w:rPr>
          <w:rStyle w:val="apple-converted-space"/>
          <w:rFonts w:ascii="Times New Roman" w:hAnsi="Times New Roman"/>
          <w:color w:val="252525"/>
          <w:sz w:val="20"/>
          <w:szCs w:val="20"/>
          <w:shd w:val="clear" w:color="auto" w:fill="FFFFFF"/>
        </w:rPr>
        <w:t> </w:t>
      </w:r>
      <w:hyperlink r:id="rId25" w:tooltip="Roman Empire" w:history="1">
        <w:r w:rsidRPr="005249AC">
          <w:rPr>
            <w:rStyle w:val="a6"/>
            <w:rFonts w:ascii="Times New Roman" w:hAnsi="Times New Roman"/>
            <w:color w:val="0B0080"/>
            <w:sz w:val="20"/>
            <w:szCs w:val="20"/>
            <w:shd w:val="clear" w:color="auto" w:fill="FFFFFF"/>
          </w:rPr>
          <w:t>Roman</w:t>
        </w:r>
      </w:hyperlink>
      <w:r w:rsidRPr="005249AC">
        <w:rPr>
          <w:rStyle w:val="apple-converted-space"/>
          <w:rFonts w:ascii="Times New Roman" w:hAnsi="Times New Roman"/>
          <w:color w:val="252525"/>
          <w:sz w:val="20"/>
          <w:szCs w:val="20"/>
          <w:shd w:val="clear" w:color="auto" w:fill="FFFFFF"/>
        </w:rPr>
        <w:t> </w:t>
      </w:r>
      <w:hyperlink r:id="rId26" w:tooltip="Christian" w:history="1">
        <w:r w:rsidRPr="005249AC">
          <w:rPr>
            <w:rStyle w:val="a6"/>
            <w:rFonts w:ascii="Times New Roman" w:hAnsi="Times New Roman"/>
            <w:color w:val="0B0080"/>
            <w:sz w:val="20"/>
            <w:szCs w:val="20"/>
            <w:shd w:val="clear" w:color="auto" w:fill="FFFFFF"/>
          </w:rPr>
          <w:t>Christian</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family about 340 AD and was raised in</w:t>
      </w:r>
      <w:r w:rsidRPr="005249AC">
        <w:rPr>
          <w:rStyle w:val="apple-converted-space"/>
          <w:rFonts w:ascii="Times New Roman" w:hAnsi="Times New Roman"/>
          <w:color w:val="252525"/>
          <w:sz w:val="20"/>
          <w:szCs w:val="20"/>
          <w:shd w:val="clear" w:color="auto" w:fill="FFFFFF"/>
        </w:rPr>
        <w:t> </w:t>
      </w:r>
      <w:hyperlink r:id="rId27" w:tooltip="Trier" w:history="1">
        <w:r w:rsidRPr="005249AC">
          <w:rPr>
            <w:rStyle w:val="a6"/>
            <w:rFonts w:ascii="Times New Roman" w:hAnsi="Times New Roman"/>
            <w:color w:val="0B0080"/>
            <w:sz w:val="20"/>
            <w:szCs w:val="20"/>
            <w:shd w:val="clear" w:color="auto" w:fill="FFFFFF"/>
          </w:rPr>
          <w:t>Trier</w:t>
        </w:r>
      </w:hyperlink>
      <w:r w:rsidRPr="005249AC">
        <w:rPr>
          <w:rFonts w:ascii="Times New Roman" w:hAnsi="Times New Roman"/>
          <w:color w:val="252525"/>
          <w:sz w:val="20"/>
          <w:szCs w:val="20"/>
          <w:shd w:val="clear" w:color="auto" w:fill="FFFFFF"/>
        </w:rPr>
        <w:t>.</w:t>
      </w:r>
      <w:hyperlink r:id="rId28" w:anchor="cite_note-CE-2" w:history="1">
        <w:r w:rsidRPr="005249AC">
          <w:rPr>
            <w:rStyle w:val="a6"/>
            <w:rFonts w:ascii="Times New Roman" w:hAnsi="Times New Roman"/>
            <w:color w:val="0B0080"/>
            <w:sz w:val="20"/>
            <w:szCs w:val="20"/>
            <w:shd w:val="clear" w:color="auto" w:fill="FFFFFF"/>
            <w:vertAlign w:val="superscript"/>
          </w:rPr>
          <w:t>[2]</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His father was Aurelius Ambrosius,</w:t>
      </w:r>
      <w:hyperlink r:id="rId29" w:anchor="cite_note-3" w:history="1">
        <w:r w:rsidRPr="005249AC">
          <w:rPr>
            <w:rStyle w:val="a6"/>
            <w:rFonts w:ascii="Times New Roman" w:hAnsi="Times New Roman"/>
            <w:color w:val="0B0080"/>
            <w:sz w:val="20"/>
            <w:szCs w:val="20"/>
            <w:shd w:val="clear" w:color="auto" w:fill="FFFFFF"/>
            <w:vertAlign w:val="superscript"/>
          </w:rPr>
          <w:t>[3]</w:t>
        </w:r>
      </w:hyperlink>
      <w:hyperlink r:id="rId30" w:anchor="cite_note-FOOTNOTEParedi1964380-4" w:history="1">
        <w:r w:rsidRPr="005249AC">
          <w:rPr>
            <w:rStyle w:val="a6"/>
            <w:rFonts w:ascii="Times New Roman" w:hAnsi="Times New Roman"/>
            <w:color w:val="0B0080"/>
            <w:sz w:val="20"/>
            <w:szCs w:val="20"/>
            <w:shd w:val="clear" w:color="auto" w:fill="FFFFFF"/>
            <w:vertAlign w:val="superscript"/>
          </w:rPr>
          <w:t>[4]</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the</w:t>
      </w:r>
      <w:r w:rsidRPr="005249AC">
        <w:rPr>
          <w:rStyle w:val="apple-converted-space"/>
          <w:rFonts w:ascii="Times New Roman" w:hAnsi="Times New Roman"/>
          <w:color w:val="252525"/>
          <w:sz w:val="20"/>
          <w:szCs w:val="20"/>
          <w:shd w:val="clear" w:color="auto" w:fill="FFFFFF"/>
        </w:rPr>
        <w:t> </w:t>
      </w:r>
      <w:hyperlink r:id="rId31" w:tooltip="Praetorian prefecture of Gaul" w:history="1">
        <w:r w:rsidRPr="005249AC">
          <w:rPr>
            <w:rStyle w:val="a6"/>
            <w:rFonts w:ascii="Times New Roman" w:hAnsi="Times New Roman"/>
            <w:color w:val="0B0080"/>
            <w:sz w:val="20"/>
            <w:szCs w:val="20"/>
            <w:shd w:val="clear" w:color="auto" w:fill="FFFFFF"/>
          </w:rPr>
          <w:t>praetorian prefect of Gaul</w:t>
        </w:r>
      </w:hyperlink>
      <w:r w:rsidRPr="005249AC">
        <w:rPr>
          <w:rFonts w:ascii="Times New Roman" w:hAnsi="Times New Roman"/>
          <w:color w:val="252525"/>
          <w:sz w:val="20"/>
          <w:szCs w:val="20"/>
          <w:shd w:val="clear" w:color="auto" w:fill="FFFFFF"/>
        </w:rPr>
        <w:t>;</w:t>
      </w:r>
      <w:hyperlink r:id="rId32" w:anchor="cite_note-FOOTNOTEAttwaterJohn1993-1" w:history="1">
        <w:r w:rsidRPr="005249AC">
          <w:rPr>
            <w:rStyle w:val="a6"/>
            <w:rFonts w:ascii="Times New Roman" w:hAnsi="Times New Roman"/>
            <w:color w:val="0B0080"/>
            <w:sz w:val="20"/>
            <w:szCs w:val="20"/>
            <w:shd w:val="clear" w:color="auto" w:fill="FFFFFF"/>
            <w:vertAlign w:val="superscript"/>
          </w:rPr>
          <w:t>[1]</w:t>
        </w:r>
      </w:hyperlink>
      <w:r w:rsidRPr="005249AC">
        <w:rPr>
          <w:rFonts w:ascii="Times New Roman" w:hAnsi="Times New Roman"/>
          <w:color w:val="252525"/>
          <w:sz w:val="20"/>
          <w:szCs w:val="20"/>
          <w:shd w:val="clear" w:color="auto" w:fill="FFFFFF"/>
          <w:vertAlign w:val="superscript"/>
        </w:rPr>
        <w:t>[</w:t>
      </w:r>
      <w:hyperlink r:id="rId33" w:tooltip="Wikipedia:Citing sources" w:history="1">
        <w:r w:rsidRPr="005249AC">
          <w:rPr>
            <w:rStyle w:val="a6"/>
            <w:rFonts w:ascii="Times New Roman" w:hAnsi="Times New Roman"/>
            <w:i/>
            <w:iCs/>
            <w:color w:val="0B0080"/>
            <w:sz w:val="20"/>
            <w:szCs w:val="20"/>
            <w:shd w:val="clear" w:color="auto" w:fill="FFFFFF"/>
            <w:vertAlign w:val="superscript"/>
          </w:rPr>
          <w:t>page needed</w:t>
        </w:r>
      </w:hyperlink>
      <w:r w:rsidRPr="005249AC">
        <w:rPr>
          <w:rFonts w:ascii="Times New Roman" w:hAnsi="Times New Roman"/>
          <w:color w:val="252525"/>
          <w:sz w:val="20"/>
          <w:szCs w:val="20"/>
          <w:shd w:val="clear" w:color="auto" w:fill="FFFFFF"/>
          <w:vertAlign w:val="superscript"/>
        </w:rPr>
        <w:t>]</w:t>
      </w:r>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 xml:space="preserve">his mother </w:t>
      </w:r>
      <w:r w:rsidR="00967052">
        <w:rPr>
          <w:rFonts w:ascii="Times New Roman" w:hAnsi="Times New Roman" w:hint="eastAsia"/>
          <w:color w:val="252525"/>
          <w:sz w:val="20"/>
          <w:szCs w:val="20"/>
          <w:shd w:val="clear" w:color="auto" w:fill="FFFFFF"/>
        </w:rPr>
        <w:t>(Monica, wise M.of Origen)</w:t>
      </w:r>
      <w:r w:rsidRPr="005249AC">
        <w:rPr>
          <w:rFonts w:ascii="Times New Roman" w:hAnsi="Times New Roman"/>
          <w:color w:val="252525"/>
          <w:sz w:val="20"/>
          <w:szCs w:val="20"/>
          <w:shd w:val="clear" w:color="auto" w:fill="FFFFFF"/>
        </w:rPr>
        <w:t>was a woman of intellect and piety.</w:t>
      </w:r>
      <w:r w:rsidRPr="005249AC">
        <w:rPr>
          <w:rStyle w:val="apple-converted-space"/>
          <w:rFonts w:ascii="Times New Roman" w:hAnsi="Times New Roman"/>
          <w:color w:val="252525"/>
          <w:sz w:val="20"/>
          <w:szCs w:val="20"/>
          <w:shd w:val="clear" w:color="auto" w:fill="FFFFFF"/>
        </w:rPr>
        <w:t> </w:t>
      </w:r>
    </w:p>
    <w:p w:rsidR="00F84A76" w:rsidRPr="005249AC" w:rsidRDefault="00F84A76" w:rsidP="00F84A76">
      <w:pPr>
        <w:pStyle w:val="2"/>
        <w:pBdr>
          <w:bottom w:val="single" w:sz="6" w:space="0" w:color="AAAAAA"/>
        </w:pBdr>
        <w:shd w:val="clear" w:color="auto" w:fill="FFFFFF"/>
        <w:spacing w:before="240" w:after="60"/>
        <w:rPr>
          <w:rFonts w:ascii="Times New Roman" w:hAnsi="Times New Roman"/>
          <w:color w:val="000000"/>
          <w:sz w:val="20"/>
          <w:szCs w:val="20"/>
        </w:rPr>
      </w:pPr>
      <w:r w:rsidRPr="005249AC">
        <w:rPr>
          <w:rStyle w:val="mw-headline"/>
          <w:rFonts w:ascii="Times New Roman" w:hAnsi="Times New Roman"/>
          <w:b/>
          <w:bCs/>
          <w:color w:val="000000"/>
          <w:sz w:val="20"/>
          <w:szCs w:val="20"/>
        </w:rPr>
        <w:t>Theology</w:t>
      </w:r>
      <w:r w:rsidRPr="005249AC">
        <w:rPr>
          <w:rStyle w:val="mw-editsection-bracket"/>
          <w:rFonts w:ascii="Times New Roman" w:hAnsi="Times New Roman"/>
          <w:b/>
          <w:bCs/>
          <w:color w:val="555555"/>
          <w:sz w:val="20"/>
          <w:szCs w:val="20"/>
        </w:rPr>
        <w:t>[</w:t>
      </w:r>
      <w:hyperlink r:id="rId34" w:tooltip="Edit section: Theology" w:history="1">
        <w:r w:rsidRPr="005249AC">
          <w:rPr>
            <w:rStyle w:val="a6"/>
            <w:rFonts w:ascii="Times New Roman" w:hAnsi="Times New Roman"/>
            <w:b/>
            <w:bCs/>
            <w:color w:val="0B0080"/>
            <w:sz w:val="20"/>
            <w:szCs w:val="20"/>
          </w:rPr>
          <w:t>edit</w:t>
        </w:r>
      </w:hyperlink>
      <w:r w:rsidRPr="005249AC">
        <w:rPr>
          <w:rStyle w:val="mw-editsection-bracket"/>
          <w:rFonts w:ascii="Times New Roman" w:hAnsi="Times New Roman"/>
          <w:b/>
          <w:bCs/>
          <w:color w:val="555555"/>
          <w:sz w:val="20"/>
          <w:szCs w:val="20"/>
        </w:rPr>
        <w:t>]</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Ambrose ranks with</w:t>
      </w:r>
      <w:r w:rsidRPr="005249AC">
        <w:rPr>
          <w:rStyle w:val="apple-converted-space"/>
          <w:rFonts w:ascii="Times New Roman" w:hAnsi="Times New Roman" w:cs="Times New Roman"/>
          <w:color w:val="252525"/>
          <w:sz w:val="20"/>
          <w:szCs w:val="20"/>
        </w:rPr>
        <w:t> </w:t>
      </w:r>
      <w:hyperlink r:id="rId35" w:tooltip="Augustine of Hippo" w:history="1">
        <w:r w:rsidRPr="005249AC">
          <w:rPr>
            <w:rStyle w:val="a6"/>
            <w:rFonts w:ascii="Times New Roman" w:hAnsi="Times New Roman"/>
            <w:color w:val="0B0080"/>
            <w:sz w:val="20"/>
            <w:szCs w:val="20"/>
          </w:rPr>
          <w:t>Augustine</w:t>
        </w:r>
      </w:hyperlink>
      <w:r w:rsidRPr="005249AC">
        <w:rPr>
          <w:rFonts w:ascii="Times New Roman" w:hAnsi="Times New Roman" w:cs="Times New Roman"/>
          <w:color w:val="252525"/>
          <w:sz w:val="20"/>
          <w:szCs w:val="20"/>
        </w:rPr>
        <w:t>,</w:t>
      </w:r>
      <w:r w:rsidRPr="005249AC">
        <w:rPr>
          <w:rStyle w:val="apple-converted-space"/>
          <w:rFonts w:ascii="Times New Roman" w:hAnsi="Times New Roman" w:cs="Times New Roman"/>
          <w:color w:val="252525"/>
          <w:sz w:val="20"/>
          <w:szCs w:val="20"/>
        </w:rPr>
        <w:t> </w:t>
      </w:r>
      <w:hyperlink r:id="rId36" w:tooltip="Jerome" w:history="1">
        <w:r w:rsidRPr="005249AC">
          <w:rPr>
            <w:rStyle w:val="a6"/>
            <w:rFonts w:ascii="Times New Roman" w:hAnsi="Times New Roman"/>
            <w:color w:val="0B0080"/>
            <w:sz w:val="20"/>
            <w:szCs w:val="20"/>
          </w:rPr>
          <w:t>Jerome</w:t>
        </w:r>
      </w:hyperlink>
      <w:r w:rsidRPr="005249AC">
        <w:rPr>
          <w:rFonts w:ascii="Times New Roman" w:hAnsi="Times New Roman" w:cs="Times New Roman"/>
          <w:color w:val="252525"/>
          <w:sz w:val="20"/>
          <w:szCs w:val="20"/>
        </w:rPr>
        <w:t>, and</w:t>
      </w:r>
      <w:r w:rsidRPr="005249AC">
        <w:rPr>
          <w:rStyle w:val="apple-converted-space"/>
          <w:rFonts w:ascii="Times New Roman" w:hAnsi="Times New Roman" w:cs="Times New Roman"/>
          <w:color w:val="252525"/>
          <w:sz w:val="20"/>
          <w:szCs w:val="20"/>
        </w:rPr>
        <w:t> </w:t>
      </w:r>
      <w:hyperlink r:id="rId37" w:tooltip="Gregory the Great" w:history="1">
        <w:r w:rsidRPr="005249AC">
          <w:rPr>
            <w:rStyle w:val="a6"/>
            <w:rFonts w:ascii="Times New Roman" w:hAnsi="Times New Roman"/>
            <w:color w:val="0B0080"/>
            <w:sz w:val="20"/>
            <w:szCs w:val="20"/>
          </w:rPr>
          <w:t>Gregory the Great</w:t>
        </w:r>
      </w:hyperlink>
      <w:r w:rsidRPr="005249AC">
        <w:rPr>
          <w:rFonts w:ascii="Times New Roman" w:hAnsi="Times New Roman" w:cs="Times New Roman"/>
          <w:color w:val="252525"/>
          <w:sz w:val="20"/>
          <w:szCs w:val="20"/>
        </w:rPr>
        <w:t>, as one of the</w:t>
      </w:r>
      <w:r w:rsidRPr="005249AC">
        <w:rPr>
          <w:rStyle w:val="apple-converted-space"/>
          <w:rFonts w:ascii="Times New Roman" w:hAnsi="Times New Roman" w:cs="Times New Roman"/>
          <w:color w:val="252525"/>
          <w:sz w:val="20"/>
          <w:szCs w:val="20"/>
        </w:rPr>
        <w:t> </w:t>
      </w:r>
      <w:hyperlink r:id="rId38" w:tooltip="Latin" w:history="1">
        <w:r w:rsidRPr="005249AC">
          <w:rPr>
            <w:rStyle w:val="a6"/>
            <w:rFonts w:ascii="Times New Roman" w:hAnsi="Times New Roman"/>
            <w:color w:val="0B0080"/>
            <w:sz w:val="20"/>
            <w:szCs w:val="20"/>
          </w:rPr>
          <w:t>Latin</w:t>
        </w:r>
      </w:hyperlink>
      <w:r w:rsidRPr="005249AC">
        <w:rPr>
          <w:rStyle w:val="apple-converted-space"/>
          <w:rFonts w:ascii="Times New Roman" w:hAnsi="Times New Roman" w:cs="Times New Roman"/>
          <w:color w:val="252525"/>
          <w:sz w:val="20"/>
          <w:szCs w:val="20"/>
        </w:rPr>
        <w:t> </w:t>
      </w:r>
      <w:hyperlink r:id="rId39" w:tooltip="Doctor of the Church" w:history="1">
        <w:r w:rsidRPr="005249AC">
          <w:rPr>
            <w:rStyle w:val="a6"/>
            <w:rFonts w:ascii="Times New Roman" w:hAnsi="Times New Roman"/>
            <w:color w:val="0B0080"/>
            <w:sz w:val="20"/>
            <w:szCs w:val="20"/>
          </w:rPr>
          <w:t>Doctors of the Church</w:t>
        </w:r>
      </w:hyperlink>
      <w:r w:rsidRPr="005249AC">
        <w:rPr>
          <w:rFonts w:ascii="Times New Roman" w:hAnsi="Times New Roman" w:cs="Times New Roman"/>
          <w:color w:val="252525"/>
          <w:sz w:val="20"/>
          <w:szCs w:val="20"/>
        </w:rPr>
        <w:t>. Theologians compare him with</w:t>
      </w:r>
      <w:r w:rsidRPr="005249AC">
        <w:rPr>
          <w:rStyle w:val="apple-converted-space"/>
          <w:rFonts w:ascii="Times New Roman" w:hAnsi="Times New Roman" w:cs="Times New Roman"/>
          <w:color w:val="252525"/>
          <w:sz w:val="20"/>
          <w:szCs w:val="20"/>
        </w:rPr>
        <w:t> </w:t>
      </w:r>
      <w:hyperlink r:id="rId40" w:tooltip="Hilary of Poitiers" w:history="1">
        <w:r w:rsidRPr="005249AC">
          <w:rPr>
            <w:rStyle w:val="a6"/>
            <w:rFonts w:ascii="Times New Roman" w:hAnsi="Times New Roman"/>
            <w:color w:val="0B0080"/>
            <w:sz w:val="20"/>
            <w:szCs w:val="20"/>
          </w:rPr>
          <w:t>Hilary</w:t>
        </w:r>
      </w:hyperlink>
      <w:r w:rsidRPr="005249AC">
        <w:rPr>
          <w:rFonts w:ascii="Times New Roman" w:hAnsi="Times New Roman" w:cs="Times New Roman"/>
          <w:color w:val="252525"/>
          <w:sz w:val="20"/>
          <w:szCs w:val="20"/>
        </w:rPr>
        <w:t>, who they claim fell short of Ambrose's administrative excellence but demonstrated greater</w:t>
      </w:r>
      <w:r w:rsidRPr="005249AC">
        <w:rPr>
          <w:rStyle w:val="apple-converted-space"/>
          <w:rFonts w:ascii="Times New Roman" w:hAnsi="Times New Roman" w:cs="Times New Roman"/>
          <w:color w:val="252525"/>
          <w:sz w:val="20"/>
          <w:szCs w:val="20"/>
        </w:rPr>
        <w:t> </w:t>
      </w:r>
      <w:hyperlink r:id="rId41" w:tooltip="Theology" w:history="1">
        <w:r w:rsidRPr="005249AC">
          <w:rPr>
            <w:rStyle w:val="a6"/>
            <w:rFonts w:ascii="Times New Roman" w:hAnsi="Times New Roman"/>
            <w:color w:val="0B0080"/>
            <w:sz w:val="20"/>
            <w:szCs w:val="20"/>
          </w:rPr>
          <w:t>theological</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ability. He succeeded as a theologian despite his juridical training and his comparatively late handling of</w:t>
      </w:r>
      <w:r w:rsidRPr="005249AC">
        <w:rPr>
          <w:rStyle w:val="apple-converted-space"/>
          <w:rFonts w:ascii="Times New Roman" w:hAnsi="Times New Roman" w:cs="Times New Roman"/>
          <w:color w:val="252525"/>
          <w:sz w:val="20"/>
          <w:szCs w:val="20"/>
        </w:rPr>
        <w:t> </w:t>
      </w:r>
      <w:hyperlink r:id="rId42" w:tooltip="Biblical" w:history="1">
        <w:r w:rsidRPr="005249AC">
          <w:rPr>
            <w:rStyle w:val="a6"/>
            <w:rFonts w:ascii="Times New Roman" w:hAnsi="Times New Roman"/>
            <w:color w:val="0B0080"/>
            <w:sz w:val="20"/>
            <w:szCs w:val="20"/>
          </w:rPr>
          <w:t>Biblical</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w:t>
      </w:r>
      <w:r w:rsidRPr="005249AC">
        <w:rPr>
          <w:rStyle w:val="apple-converted-space"/>
          <w:rFonts w:ascii="Times New Roman" w:hAnsi="Times New Roman" w:cs="Times New Roman"/>
          <w:color w:val="252525"/>
          <w:sz w:val="20"/>
          <w:szCs w:val="20"/>
        </w:rPr>
        <w:t> </w:t>
      </w:r>
      <w:hyperlink r:id="rId43" w:tooltip="Doctrinal" w:history="1">
        <w:r w:rsidRPr="005249AC">
          <w:rPr>
            <w:rStyle w:val="a6"/>
            <w:rFonts w:ascii="Times New Roman" w:hAnsi="Times New Roman"/>
            <w:color w:val="0B0080"/>
            <w:sz w:val="20"/>
            <w:szCs w:val="20"/>
          </w:rPr>
          <w:t>doctrinal</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subjects.</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Ambrose's intense episcopal consciousness furthered the growing</w:t>
      </w:r>
      <w:r w:rsidRPr="005249AC">
        <w:rPr>
          <w:rStyle w:val="apple-converted-space"/>
          <w:rFonts w:ascii="Times New Roman" w:hAnsi="Times New Roman" w:cs="Times New Roman"/>
          <w:color w:val="252525"/>
          <w:sz w:val="20"/>
          <w:szCs w:val="20"/>
        </w:rPr>
        <w:t> </w:t>
      </w:r>
      <w:hyperlink r:id="rId44" w:tooltip="Doctrine" w:history="1">
        <w:r w:rsidRPr="005249AC">
          <w:rPr>
            <w:rStyle w:val="a6"/>
            <w:rFonts w:ascii="Times New Roman" w:hAnsi="Times New Roman"/>
            <w:color w:val="0B0080"/>
            <w:sz w:val="20"/>
            <w:szCs w:val="20"/>
          </w:rPr>
          <w:t>doctrine</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 the Church and its</w:t>
      </w:r>
      <w:r w:rsidRPr="005249AC">
        <w:rPr>
          <w:rStyle w:val="apple-converted-space"/>
          <w:rFonts w:ascii="Times New Roman" w:hAnsi="Times New Roman" w:cs="Times New Roman"/>
          <w:color w:val="252525"/>
          <w:sz w:val="20"/>
          <w:szCs w:val="20"/>
        </w:rPr>
        <w:t> </w:t>
      </w:r>
      <w:hyperlink r:id="rId45" w:tooltip="Sacerdotal" w:history="1">
        <w:r w:rsidRPr="005249AC">
          <w:rPr>
            <w:rStyle w:val="a6"/>
            <w:rFonts w:ascii="Times New Roman" w:hAnsi="Times New Roman"/>
            <w:color w:val="0B0080"/>
            <w:sz w:val="20"/>
            <w:szCs w:val="20"/>
          </w:rPr>
          <w:t>sacerdotal</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ministry, while the prevalent</w:t>
      </w:r>
      <w:r w:rsidR="00967052">
        <w:rPr>
          <w:rFonts w:ascii="Times New Roman" w:hAnsi="Times New Roman" w:cs="Times New Roman" w:hint="eastAsia"/>
          <w:color w:val="252525"/>
          <w:sz w:val="20"/>
          <w:szCs w:val="20"/>
        </w:rPr>
        <w:t xml:space="preserve"> </w:t>
      </w:r>
      <w:hyperlink r:id="rId46" w:tooltip="Asceticism" w:history="1">
        <w:r w:rsidRPr="005249AC">
          <w:rPr>
            <w:rStyle w:val="a6"/>
            <w:rFonts w:ascii="Times New Roman" w:hAnsi="Times New Roman"/>
            <w:color w:val="0B0080"/>
            <w:sz w:val="20"/>
            <w:szCs w:val="20"/>
          </w:rPr>
          <w:t>asceticism</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 the day, continuing the</w:t>
      </w:r>
      <w:r w:rsidRPr="005249AC">
        <w:rPr>
          <w:rStyle w:val="apple-converted-space"/>
          <w:rFonts w:ascii="Times New Roman" w:hAnsi="Times New Roman" w:cs="Times New Roman"/>
          <w:color w:val="252525"/>
          <w:sz w:val="20"/>
          <w:szCs w:val="20"/>
        </w:rPr>
        <w:t> </w:t>
      </w:r>
      <w:hyperlink r:id="rId47" w:tooltip="Stoicism" w:history="1">
        <w:r w:rsidRPr="005249AC">
          <w:rPr>
            <w:rStyle w:val="a6"/>
            <w:rFonts w:ascii="Times New Roman" w:hAnsi="Times New Roman"/>
            <w:color w:val="0B0080"/>
            <w:sz w:val="20"/>
            <w:szCs w:val="20"/>
          </w:rPr>
          <w:t>Stoic</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w:t>
      </w:r>
      <w:r w:rsidRPr="005249AC">
        <w:rPr>
          <w:rStyle w:val="apple-converted-space"/>
          <w:rFonts w:ascii="Times New Roman" w:hAnsi="Times New Roman" w:cs="Times New Roman"/>
          <w:color w:val="252525"/>
          <w:sz w:val="20"/>
          <w:szCs w:val="20"/>
        </w:rPr>
        <w:t> </w:t>
      </w:r>
      <w:hyperlink r:id="rId48" w:tooltip="Cicero" w:history="1">
        <w:r w:rsidRPr="005249AC">
          <w:rPr>
            <w:rStyle w:val="a6"/>
            <w:rFonts w:ascii="Times New Roman" w:hAnsi="Times New Roman"/>
            <w:color w:val="0B0080"/>
            <w:sz w:val="20"/>
            <w:szCs w:val="20"/>
          </w:rPr>
          <w:t>Ciceronian</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training of his youth, enabled him to promulgate a lofty standard of Christian</w:t>
      </w:r>
      <w:r w:rsidRPr="005249AC">
        <w:rPr>
          <w:rStyle w:val="apple-converted-space"/>
          <w:rFonts w:ascii="Times New Roman" w:hAnsi="Times New Roman" w:cs="Times New Roman"/>
          <w:color w:val="252525"/>
          <w:sz w:val="20"/>
          <w:szCs w:val="20"/>
        </w:rPr>
        <w:t> </w:t>
      </w:r>
      <w:hyperlink r:id="rId49" w:tooltip="Ethics" w:history="1">
        <w:r w:rsidRPr="005249AC">
          <w:rPr>
            <w:rStyle w:val="a6"/>
            <w:rFonts w:ascii="Times New Roman" w:hAnsi="Times New Roman"/>
            <w:color w:val="0B0080"/>
            <w:sz w:val="20"/>
            <w:szCs w:val="20"/>
          </w:rPr>
          <w:t>ethics</w:t>
        </w:r>
      </w:hyperlink>
      <w:r w:rsidRPr="005249AC">
        <w:rPr>
          <w:rFonts w:ascii="Times New Roman" w:hAnsi="Times New Roman" w:cs="Times New Roman"/>
          <w:color w:val="252525"/>
          <w:sz w:val="20"/>
          <w:szCs w:val="20"/>
        </w:rPr>
        <w:t>. Thus we have the</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De officiis ministrorum</w:t>
      </w:r>
      <w:r w:rsidRPr="005249AC">
        <w:rPr>
          <w:rFonts w:ascii="Times New Roman" w:hAnsi="Times New Roman" w:cs="Times New Roman"/>
          <w:color w:val="252525"/>
          <w:sz w:val="20"/>
          <w:szCs w:val="20"/>
        </w:rPr>
        <w:t>,</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De viduis</w:t>
      </w:r>
      <w:r w:rsidRPr="005249AC">
        <w:rPr>
          <w:rFonts w:ascii="Times New Roman" w:hAnsi="Times New Roman" w:cs="Times New Roman"/>
          <w:color w:val="252525"/>
          <w:sz w:val="20"/>
          <w:szCs w:val="20"/>
        </w:rPr>
        <w:t>,</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De virginitate</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De paenitentia</w:t>
      </w:r>
      <w:r w:rsidRPr="005249AC">
        <w:rPr>
          <w:rFonts w:ascii="Times New Roman" w:hAnsi="Times New Roman" w:cs="Times New Roman"/>
          <w:color w:val="252525"/>
          <w:sz w:val="20"/>
          <w:szCs w:val="20"/>
        </w:rPr>
        <w:t>.</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 xml:space="preserve">Ambrose displayed a kind of liturgical flexibility that kept in mind </w:t>
      </w:r>
      <w:r w:rsidRPr="00967052">
        <w:rPr>
          <w:rStyle w:val="2Char"/>
        </w:rPr>
        <w:t>that liturgy was a tool to serve people in worshiping God,</w:t>
      </w:r>
      <w:r w:rsidRPr="005249AC">
        <w:rPr>
          <w:rFonts w:ascii="Times New Roman" w:hAnsi="Times New Roman" w:cs="Times New Roman"/>
          <w:color w:val="252525"/>
          <w:sz w:val="20"/>
          <w:szCs w:val="20"/>
        </w:rPr>
        <w:t xml:space="preserve"> and ought not to become a rigid entity that is invariable from place to place. His advice to Augustine of Hippo on this point was to follow local liturgical custom. "When I am at Rome, I fast on a Saturday; when I am at Milan, I do not. Follow the custom of the church where you are."</w:t>
      </w:r>
      <w:hyperlink r:id="rId50" w:anchor="cite_note-24" w:history="1">
        <w:r w:rsidRPr="005249AC">
          <w:rPr>
            <w:rStyle w:val="a6"/>
            <w:rFonts w:ascii="Times New Roman" w:hAnsi="Times New Roman"/>
            <w:color w:val="0B0080"/>
            <w:sz w:val="20"/>
            <w:szCs w:val="20"/>
            <w:vertAlign w:val="superscript"/>
          </w:rPr>
          <w:t>[24]</w:t>
        </w:r>
      </w:hyperlink>
      <w:hyperlink r:id="rId51" w:anchor="cite_note-25" w:history="1">
        <w:r w:rsidRPr="005249AC">
          <w:rPr>
            <w:rStyle w:val="a6"/>
            <w:rFonts w:ascii="Times New Roman" w:hAnsi="Times New Roman"/>
            <w:color w:val="0B0080"/>
            <w:sz w:val="20"/>
            <w:szCs w:val="20"/>
            <w:vertAlign w:val="superscript"/>
          </w:rPr>
          <w:t>[25]</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Thus Ambrose refused to be drawn into a false conflict over which particular local church had the "right" liturgical form where there was no substantial problem. His advice has remained in the English language as the saying, "</w:t>
      </w:r>
      <w:hyperlink r:id="rId52" w:tooltip="wikt:when in Rome, do as the Romans do" w:history="1">
        <w:r w:rsidRPr="005249AC">
          <w:rPr>
            <w:rStyle w:val="a6"/>
            <w:rFonts w:ascii="Times New Roman" w:hAnsi="Times New Roman"/>
            <w:color w:val="663366"/>
            <w:sz w:val="20"/>
            <w:szCs w:val="20"/>
          </w:rPr>
          <w:t>When in Rome, do as the Romans do.</w:t>
        </w:r>
      </w:hyperlink>
      <w:r w:rsidRPr="005249AC">
        <w:rPr>
          <w:rFonts w:ascii="Times New Roman" w:hAnsi="Times New Roman" w:cs="Times New Roman"/>
          <w:color w:val="252525"/>
          <w:sz w:val="20"/>
          <w:szCs w:val="20"/>
        </w:rPr>
        <w:t>"</w:t>
      </w:r>
      <w:r w:rsidR="00967052">
        <w:rPr>
          <w:rStyle w:val="a3"/>
          <w:rFonts w:ascii="Times New Roman" w:hAnsi="Times New Roman" w:cs="Times New Roman"/>
          <w:color w:val="252525"/>
          <w:sz w:val="20"/>
          <w:szCs w:val="20"/>
        </w:rPr>
        <w:footnoteReference w:id="16"/>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One interpretation of Ambrose's writings is that he was a</w:t>
      </w:r>
      <w:r w:rsidRPr="005249AC">
        <w:rPr>
          <w:rStyle w:val="apple-converted-space"/>
          <w:rFonts w:ascii="Times New Roman" w:hAnsi="Times New Roman" w:cs="Times New Roman"/>
          <w:color w:val="252525"/>
          <w:sz w:val="20"/>
          <w:szCs w:val="20"/>
        </w:rPr>
        <w:t> </w:t>
      </w:r>
      <w:hyperlink r:id="rId53" w:tooltip="Christian universalism" w:history="1">
        <w:r w:rsidRPr="005249AC">
          <w:rPr>
            <w:rStyle w:val="a6"/>
            <w:rFonts w:ascii="Times New Roman" w:hAnsi="Times New Roman"/>
            <w:color w:val="FF0000"/>
            <w:sz w:val="20"/>
            <w:szCs w:val="20"/>
          </w:rPr>
          <w:t>Christian universalist</w:t>
        </w:r>
      </w:hyperlink>
      <w:r w:rsidRPr="005249AC">
        <w:rPr>
          <w:rFonts w:ascii="Times New Roman" w:hAnsi="Times New Roman" w:cs="Times New Roman"/>
          <w:color w:val="252525"/>
          <w:sz w:val="20"/>
          <w:szCs w:val="20"/>
        </w:rPr>
        <w:t>.</w:t>
      </w:r>
      <w:hyperlink r:id="rId54" w:anchor="cite_note-hanson-26" w:history="1">
        <w:r w:rsidRPr="005249AC">
          <w:rPr>
            <w:rStyle w:val="a6"/>
            <w:rFonts w:ascii="Times New Roman" w:hAnsi="Times New Roman"/>
            <w:color w:val="0B0080"/>
            <w:sz w:val="20"/>
            <w:szCs w:val="20"/>
            <w:vertAlign w:val="superscript"/>
          </w:rPr>
          <w:t>[26]</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It has been noted that Ambrose's theology was significantly influenced by that of</w:t>
      </w:r>
      <w:r w:rsidR="00967052">
        <w:rPr>
          <w:rFonts w:ascii="Times New Roman" w:hAnsi="Times New Roman" w:cs="Times New Roman" w:hint="eastAsia"/>
          <w:color w:val="252525"/>
          <w:sz w:val="20"/>
          <w:szCs w:val="20"/>
        </w:rPr>
        <w:t xml:space="preserve"> </w:t>
      </w:r>
      <w:hyperlink r:id="rId55" w:tooltip="Origen" w:history="1">
        <w:r w:rsidRPr="005249AC">
          <w:rPr>
            <w:rStyle w:val="a6"/>
            <w:rFonts w:ascii="Times New Roman" w:hAnsi="Times New Roman"/>
            <w:color w:val="0B0080"/>
            <w:sz w:val="20"/>
            <w:szCs w:val="20"/>
          </w:rPr>
          <w:t>Origen</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w:t>
      </w:r>
      <w:r w:rsidRPr="005249AC">
        <w:rPr>
          <w:rStyle w:val="apple-converted-space"/>
          <w:rFonts w:ascii="Times New Roman" w:hAnsi="Times New Roman" w:cs="Times New Roman"/>
          <w:color w:val="252525"/>
          <w:sz w:val="20"/>
          <w:szCs w:val="20"/>
        </w:rPr>
        <w:t> </w:t>
      </w:r>
      <w:hyperlink r:id="rId56" w:tooltip="Didymus the Blind" w:history="1">
        <w:r w:rsidRPr="005249AC">
          <w:rPr>
            <w:rStyle w:val="a6"/>
            <w:rFonts w:ascii="Times New Roman" w:hAnsi="Times New Roman"/>
            <w:color w:val="0B0080"/>
            <w:sz w:val="20"/>
            <w:szCs w:val="20"/>
          </w:rPr>
          <w:t>Didymus the Blind</w:t>
        </w:r>
      </w:hyperlink>
      <w:r w:rsidRPr="005249AC">
        <w:rPr>
          <w:rFonts w:ascii="Times New Roman" w:hAnsi="Times New Roman" w:cs="Times New Roman"/>
          <w:color w:val="252525"/>
          <w:sz w:val="20"/>
          <w:szCs w:val="20"/>
        </w:rPr>
        <w:t>,</w:t>
      </w:r>
      <w:r w:rsidR="001472B4">
        <w:rPr>
          <w:rStyle w:val="a3"/>
          <w:rFonts w:ascii="Times New Roman" w:hAnsi="Times New Roman" w:cs="Times New Roman"/>
          <w:color w:val="252525"/>
          <w:sz w:val="20"/>
          <w:szCs w:val="20"/>
        </w:rPr>
        <w:footnoteReference w:id="17"/>
      </w:r>
      <w:r w:rsidRPr="005249AC">
        <w:rPr>
          <w:rFonts w:ascii="Times New Roman" w:hAnsi="Times New Roman" w:cs="Times New Roman"/>
          <w:color w:val="252525"/>
          <w:sz w:val="20"/>
          <w:szCs w:val="20"/>
        </w:rPr>
        <w:t xml:space="preserve"> two other early Christian universalists.</w:t>
      </w:r>
      <w:hyperlink r:id="rId57" w:anchor="cite_note-hanson-26" w:history="1">
        <w:r w:rsidRPr="005249AC">
          <w:rPr>
            <w:rStyle w:val="a6"/>
            <w:rFonts w:ascii="Times New Roman" w:hAnsi="Times New Roman"/>
            <w:color w:val="0B0080"/>
            <w:sz w:val="20"/>
            <w:szCs w:val="20"/>
            <w:vertAlign w:val="superscript"/>
          </w:rPr>
          <w:t>[26]</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One quotation cited in favor of this belief:</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lastRenderedPageBreak/>
        <w:t xml:space="preserve">Our Savior has appointed two kinds of resurrection in the Apocalypse. 'Blessed is he that hath part in the first resurrection,' for such come to grace without the judgment. As for those who do not come to the first, but are reserved </w:t>
      </w:r>
      <w:r w:rsidRPr="001472B4">
        <w:rPr>
          <w:rFonts w:ascii="Times New Roman" w:hAnsi="Times New Roman" w:cs="Times New Roman"/>
          <w:color w:val="FF0000"/>
          <w:sz w:val="20"/>
          <w:szCs w:val="20"/>
        </w:rPr>
        <w:t>unto the second resurrection, these shall be disciplined until their appointed times</w:t>
      </w:r>
      <w:r w:rsidRPr="005249AC">
        <w:rPr>
          <w:rFonts w:ascii="Times New Roman" w:hAnsi="Times New Roman" w:cs="Times New Roman"/>
          <w:color w:val="252525"/>
          <w:sz w:val="20"/>
          <w:szCs w:val="20"/>
        </w:rPr>
        <w:t>, between the first and the second resurrection.</w:t>
      </w:r>
      <w:hyperlink r:id="rId58" w:anchor="cite_note-27" w:history="1">
        <w:r w:rsidRPr="005249AC">
          <w:rPr>
            <w:rStyle w:val="a6"/>
            <w:rFonts w:ascii="Times New Roman" w:hAnsi="Times New Roman"/>
            <w:color w:val="0B0080"/>
            <w:sz w:val="20"/>
            <w:szCs w:val="20"/>
            <w:vertAlign w:val="superscript"/>
          </w:rPr>
          <w:t>[27]</w:t>
        </w:r>
      </w:hyperlink>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One could interpret this passage as being another example of the mainstream Christian belief in a general resurrection (both for those in heaven and for those in hell). Several other works by Ambrose clearly teach the mainstream view of salvation. For example:</w:t>
      </w:r>
    </w:p>
    <w:p w:rsidR="00F84A76" w:rsidRPr="005249AC" w:rsidRDefault="00F84A76" w:rsidP="00F84A76">
      <w:pPr>
        <w:pStyle w:val="a7"/>
        <w:shd w:val="clear" w:color="auto" w:fill="FFFFFF"/>
        <w:spacing w:before="120" w:beforeAutospacing="0" w:after="120" w:afterAutospacing="0" w:line="336"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The Jews feared to believe in manhood taken up into God,</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and therefore have lost the grace of redemption</w:t>
      </w:r>
      <w:r w:rsidRPr="005249AC">
        <w:rPr>
          <w:rFonts w:ascii="Times New Roman" w:hAnsi="Times New Roman" w:cs="Times New Roman"/>
          <w:color w:val="252525"/>
          <w:sz w:val="20"/>
          <w:szCs w:val="20"/>
        </w:rPr>
        <w:t>, because they reject that on which salvation depends.</w:t>
      </w:r>
      <w:hyperlink r:id="rId59" w:anchor="cite_note-28" w:history="1">
        <w:r w:rsidRPr="005249AC">
          <w:rPr>
            <w:rStyle w:val="a6"/>
            <w:rFonts w:ascii="Times New Roman" w:hAnsi="Times New Roman"/>
            <w:color w:val="0B0080"/>
            <w:sz w:val="20"/>
            <w:szCs w:val="20"/>
            <w:vertAlign w:val="superscript"/>
          </w:rPr>
          <w:t>[28]</w:t>
        </w:r>
      </w:hyperlink>
    </w:p>
    <w:p w:rsidR="00F84A76" w:rsidRPr="005249AC" w:rsidRDefault="00F84A76" w:rsidP="00F84A76">
      <w:pPr>
        <w:spacing w:line="480" w:lineRule="auto"/>
        <w:rPr>
          <w:rStyle w:val="apple-converted-space"/>
          <w:rFonts w:ascii="Times New Roman" w:hAnsi="Times New Roman"/>
          <w:color w:val="252525"/>
          <w:sz w:val="20"/>
          <w:szCs w:val="20"/>
          <w:shd w:val="clear" w:color="auto" w:fill="FFFFFF"/>
        </w:rPr>
      </w:pPr>
    </w:p>
    <w:p w:rsidR="00F84A76" w:rsidRPr="001472B4" w:rsidRDefault="00F84A76" w:rsidP="001472B4">
      <w:pPr>
        <w:pStyle w:val="2"/>
      </w:pPr>
      <w:r w:rsidRPr="001472B4">
        <w:t xml:space="preserve">Amborose thought Allegory served to engage his listeners more deeply in the </w:t>
      </w:r>
      <w:r w:rsidRPr="001472B4">
        <w:rPr>
          <w:color w:val="FF0000"/>
        </w:rPr>
        <w:t>liturgical life</w:t>
      </w:r>
      <w:r w:rsidRPr="001472B4">
        <w:t xml:space="preserve"> of the local church. DMBI, 120</w:t>
      </w:r>
    </w:p>
    <w:p w:rsidR="00F84A76" w:rsidRPr="001472B4" w:rsidRDefault="00F84A76" w:rsidP="001472B4">
      <w:pPr>
        <w:pStyle w:val="2"/>
      </w:pPr>
      <w:r w:rsidRPr="001472B4">
        <w:t xml:space="preserve">Contribution: an appreciation of the sacred test as vital to and formative of the </w:t>
      </w:r>
      <w:r w:rsidRPr="001472B4">
        <w:rPr>
          <w:color w:val="FF0000"/>
        </w:rPr>
        <w:t>concrete life and worship</w:t>
      </w:r>
      <w:r w:rsidRPr="001472B4">
        <w:t xml:space="preserve"> of the local church. 121.</w:t>
      </w:r>
    </w:p>
    <w:p w:rsidR="00F84A76" w:rsidRPr="005249AC" w:rsidRDefault="00F84A76" w:rsidP="00F84A76">
      <w:pPr>
        <w:rPr>
          <w:rFonts w:ascii="Times New Roman" w:hAnsi="Times New Roman"/>
          <w:sz w:val="20"/>
          <w:szCs w:val="20"/>
        </w:rPr>
      </w:pPr>
    </w:p>
    <w:p w:rsidR="00F84A76" w:rsidRPr="005249AC" w:rsidRDefault="00F84A76" w:rsidP="00F84A76">
      <w:pPr>
        <w:rPr>
          <w:rFonts w:ascii="Times New Roman" w:hAnsi="Times New Roman"/>
          <w:sz w:val="20"/>
          <w:szCs w:val="20"/>
        </w:rPr>
      </w:pP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Ambrose (340-397) also became an </w:t>
      </w:r>
      <w:r w:rsidRPr="005249AC">
        <w:rPr>
          <w:rFonts w:ascii="Times New Roman" w:hAnsi="Times New Roman"/>
          <w:b/>
          <w:noProof/>
          <w:sz w:val="20"/>
          <w:szCs w:val="20"/>
        </w:rPr>
        <w:t>allegorica</w:t>
      </w:r>
      <w:r w:rsidRPr="005249AC">
        <w:rPr>
          <w:rFonts w:ascii="Times New Roman" w:hAnsi="Times New Roman"/>
          <w:noProof/>
          <w:sz w:val="20"/>
          <w:szCs w:val="20"/>
        </w:rPr>
        <w:t>l interpreter by using the method of Origen and Philo</w:t>
      </w:r>
      <w:r w:rsidRPr="005249AC">
        <w:rPr>
          <w:rFonts w:ascii="Times New Roman" w:hAnsi="Times New Roman"/>
          <w:noProof/>
          <w:sz w:val="20"/>
          <w:szCs w:val="20"/>
        </w:rPr>
        <w:footnoteReference w:id="18"/>
      </w:r>
      <w:r w:rsidRPr="005249AC">
        <w:rPr>
          <w:rFonts w:ascii="Times New Roman" w:hAnsi="Times New Roman"/>
          <w:noProof/>
          <w:sz w:val="20"/>
          <w:szCs w:val="20"/>
        </w:rPr>
        <w:t>. For example, he employed the allegorical interpretation of Philo in his commentary on Genesis and used Origen for his commentary on Luke</w:t>
      </w:r>
      <w:r w:rsidRPr="005249AC">
        <w:rPr>
          <w:rFonts w:ascii="Times New Roman" w:hAnsi="Times New Roman"/>
          <w:noProof/>
          <w:sz w:val="20"/>
          <w:szCs w:val="20"/>
        </w:rPr>
        <w:footnoteReference w:id="19"/>
      </w:r>
      <w:r w:rsidRPr="005249AC">
        <w:rPr>
          <w:rFonts w:ascii="Times New Roman" w:hAnsi="Times New Roman"/>
          <w:noProof/>
          <w:sz w:val="20"/>
          <w:szCs w:val="20"/>
        </w:rPr>
        <w:t xml:space="preserve">. </w:t>
      </w:r>
    </w:p>
    <w:p w:rsidR="00F84A76" w:rsidRPr="001472B4" w:rsidRDefault="00F84A76" w:rsidP="00F84A76">
      <w:pPr>
        <w:spacing w:line="480" w:lineRule="auto"/>
        <w:ind w:firstLine="720"/>
        <w:rPr>
          <w:rFonts w:ascii="Times New Roman" w:hAnsi="Times New Roman"/>
          <w:noProof/>
          <w:color w:val="FF0000"/>
          <w:sz w:val="20"/>
          <w:szCs w:val="20"/>
        </w:rPr>
      </w:pPr>
      <w:r w:rsidRPr="001472B4">
        <w:rPr>
          <w:rFonts w:ascii="Times New Roman" w:hAnsi="Times New Roman"/>
          <w:noProof/>
          <w:color w:val="FF0000"/>
          <w:sz w:val="20"/>
          <w:szCs w:val="20"/>
        </w:rPr>
        <w:lastRenderedPageBreak/>
        <w:t>Calvin followed Ambrose in some interpretations. In  explaining the concept of righteousness, for example, Calvin accepted Ambrose's correct interpretation.</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For this reason, it seems to me that Ambrose beautifully </w:t>
      </w:r>
      <w:r w:rsidRPr="005249AC">
        <w:rPr>
          <w:rFonts w:ascii="Times New Roman" w:hAnsi="Times New Roman"/>
          <w:noProof/>
          <w:sz w:val="20"/>
          <w:szCs w:val="20"/>
        </w:rPr>
        <w:tab/>
        <w:t xml:space="preserve">stated an example of this righteousness in the blessing </w:t>
      </w:r>
      <w:r w:rsidRPr="005249AC">
        <w:rPr>
          <w:rFonts w:ascii="Times New Roman" w:hAnsi="Times New Roman"/>
          <w:noProof/>
          <w:sz w:val="20"/>
          <w:szCs w:val="20"/>
        </w:rPr>
        <w:tab/>
        <w:t xml:space="preserve">of Jacob: noting that, as he did not of himself deserve </w:t>
      </w:r>
      <w:r w:rsidRPr="005249AC">
        <w:rPr>
          <w:rFonts w:ascii="Times New Roman" w:hAnsi="Times New Roman"/>
          <w:noProof/>
          <w:sz w:val="20"/>
          <w:szCs w:val="20"/>
        </w:rPr>
        <w:tab/>
        <w:t xml:space="preserve">the right of the first-born, concealed in his brother's </w:t>
      </w:r>
      <w:r w:rsidRPr="005249AC">
        <w:rPr>
          <w:rFonts w:ascii="Times New Roman" w:hAnsi="Times New Roman"/>
          <w:noProof/>
          <w:sz w:val="20"/>
          <w:szCs w:val="20"/>
        </w:rPr>
        <w:tab/>
        <w:t xml:space="preserve">clothing and wearing his brother's coat, which gave out </w:t>
      </w:r>
      <w:r w:rsidRPr="005249AC">
        <w:rPr>
          <w:rFonts w:ascii="Times New Roman" w:hAnsi="Times New Roman"/>
          <w:noProof/>
          <w:sz w:val="20"/>
          <w:szCs w:val="20"/>
        </w:rPr>
        <w:tab/>
        <w:t xml:space="preserve">an agreeable odor (Gen. 27:27), he received himself with </w:t>
      </w:r>
      <w:r w:rsidRPr="005249AC">
        <w:rPr>
          <w:rFonts w:ascii="Times New Roman" w:hAnsi="Times New Roman"/>
          <w:noProof/>
          <w:sz w:val="20"/>
          <w:szCs w:val="20"/>
        </w:rPr>
        <w:tab/>
        <w:t xml:space="preserve">his father, so that to his own benefit he received the </w:t>
      </w:r>
      <w:r w:rsidRPr="005249AC">
        <w:rPr>
          <w:rFonts w:ascii="Times New Roman" w:hAnsi="Times New Roman"/>
          <w:noProof/>
          <w:sz w:val="20"/>
          <w:szCs w:val="20"/>
        </w:rPr>
        <w:tab/>
        <w:t xml:space="preserve">blessing while impersonating another. And we in like </w:t>
      </w:r>
      <w:r w:rsidRPr="005249AC">
        <w:rPr>
          <w:rFonts w:ascii="Times New Roman" w:hAnsi="Times New Roman"/>
          <w:noProof/>
          <w:sz w:val="20"/>
          <w:szCs w:val="20"/>
        </w:rPr>
        <w:tab/>
        <w:t xml:space="preserve">manner hide under the precious purity of our first-born </w:t>
      </w:r>
      <w:r w:rsidRPr="005249AC">
        <w:rPr>
          <w:rFonts w:ascii="Times New Roman" w:hAnsi="Times New Roman"/>
          <w:noProof/>
          <w:sz w:val="20"/>
          <w:szCs w:val="20"/>
        </w:rPr>
        <w:tab/>
        <w:t xml:space="preserve">brother, Christ, so that we may be attested righteous in </w:t>
      </w:r>
      <w:r w:rsidRPr="005249AC">
        <w:rPr>
          <w:rFonts w:ascii="Times New Roman" w:hAnsi="Times New Roman"/>
          <w:noProof/>
          <w:sz w:val="20"/>
          <w:szCs w:val="20"/>
        </w:rPr>
        <w:tab/>
        <w:t xml:space="preserve">God's sight. Here are the words of Ambrose: "That Isaac </w:t>
      </w:r>
      <w:r w:rsidRPr="005249AC">
        <w:rPr>
          <w:rFonts w:ascii="Times New Roman" w:hAnsi="Times New Roman"/>
          <w:noProof/>
          <w:sz w:val="20"/>
          <w:szCs w:val="20"/>
        </w:rPr>
        <w:tab/>
        <w:t>smelled the odor of the garments perhaps means that we</w:t>
      </w:r>
      <w:r w:rsidRPr="005249AC">
        <w:rPr>
          <w:rFonts w:ascii="Times New Roman" w:hAnsi="Times New Roman"/>
          <w:noProof/>
          <w:sz w:val="20"/>
          <w:szCs w:val="20"/>
        </w:rPr>
        <w:tab/>
        <w:t xml:space="preserve"> </w:t>
      </w:r>
      <w:r w:rsidRPr="005249AC">
        <w:rPr>
          <w:rFonts w:ascii="Times New Roman" w:hAnsi="Times New Roman"/>
          <w:noProof/>
          <w:sz w:val="20"/>
          <w:szCs w:val="20"/>
        </w:rPr>
        <w:tab/>
        <w:t xml:space="preserve">are justified not by works but by faith, since the </w:t>
      </w:r>
      <w:r w:rsidRPr="005249AC">
        <w:rPr>
          <w:rFonts w:ascii="Times New Roman" w:hAnsi="Times New Roman"/>
          <w:noProof/>
          <w:sz w:val="20"/>
          <w:szCs w:val="20"/>
        </w:rPr>
        <w:tab/>
        <w:t xml:space="preserve">weakness of the flesh is a hindrance to works, but the </w:t>
      </w:r>
      <w:r w:rsidRPr="005249AC">
        <w:rPr>
          <w:rFonts w:ascii="Times New Roman" w:hAnsi="Times New Roman"/>
          <w:noProof/>
          <w:sz w:val="20"/>
          <w:szCs w:val="20"/>
        </w:rPr>
        <w:tab/>
        <w:t xml:space="preserve">brightness of faith, which merits the pardon of sins, </w:t>
      </w:r>
      <w:r w:rsidRPr="005249AC">
        <w:rPr>
          <w:rFonts w:ascii="Times New Roman" w:hAnsi="Times New Roman"/>
          <w:noProof/>
          <w:sz w:val="20"/>
          <w:szCs w:val="20"/>
        </w:rPr>
        <w:tab/>
        <w:t>overshadows the error of deeds.</w:t>
      </w:r>
      <w:r w:rsidRPr="005249AC">
        <w:rPr>
          <w:rFonts w:ascii="Times New Roman" w:hAnsi="Times New Roman"/>
          <w:noProof/>
          <w:sz w:val="20"/>
          <w:szCs w:val="20"/>
        </w:rPr>
        <w:footnoteReference w:id="20"/>
      </w:r>
      <w:r w:rsidRPr="005249AC">
        <w:rPr>
          <w:rFonts w:ascii="Times New Roman" w:hAnsi="Times New Roman"/>
          <w:noProof/>
          <w:sz w:val="20"/>
          <w:szCs w:val="20"/>
        </w:rPr>
        <w:t xml:space="preserve">" </w:t>
      </w:r>
    </w:p>
    <w:p w:rsidR="001472B4"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however, pointed out some problems in the interpretation of Ambrose.</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 First, Calvin thought that the interpretation of Ambrose </w:t>
      </w:r>
      <w:r w:rsidRPr="001472B4">
        <w:rPr>
          <w:rFonts w:ascii="Times New Roman" w:hAnsi="Times New Roman"/>
          <w:noProof/>
          <w:color w:val="FF0000"/>
          <w:sz w:val="20"/>
          <w:szCs w:val="20"/>
        </w:rPr>
        <w:t>was exceedingly forced</w:t>
      </w:r>
      <w:r w:rsidRPr="005249AC">
        <w:rPr>
          <w:rFonts w:ascii="Times New Roman" w:hAnsi="Times New Roman"/>
          <w:noProof/>
          <w:sz w:val="20"/>
          <w:szCs w:val="20"/>
        </w:rPr>
        <w:t>. For example, Calvin criticized Ambrose's interpretation of 1 Cor. 9:5 "Have we not power to lead about a sister, a wife, as well as other apostles, and as the brethren of the Lord, and Cephas?" Calvin said,</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One thing farther must here be noticed, that the Apostles </w:t>
      </w:r>
      <w:r w:rsidRPr="005249AC">
        <w:rPr>
          <w:rFonts w:ascii="Times New Roman" w:hAnsi="Times New Roman"/>
          <w:noProof/>
          <w:sz w:val="20"/>
          <w:szCs w:val="20"/>
        </w:rPr>
        <w:tab/>
        <w:t xml:space="preserve">had no horror of marriage, which the Papal clergy so much </w:t>
      </w:r>
      <w:r w:rsidRPr="005249AC">
        <w:rPr>
          <w:rFonts w:ascii="Times New Roman" w:hAnsi="Times New Roman"/>
          <w:noProof/>
          <w:sz w:val="20"/>
          <w:szCs w:val="20"/>
        </w:rPr>
        <w:tab/>
        <w:t xml:space="preserve">abominate, as unbecoming the sanctity of their order. . . </w:t>
      </w:r>
      <w:r w:rsidRPr="005249AC">
        <w:rPr>
          <w:rFonts w:ascii="Times New Roman" w:hAnsi="Times New Roman"/>
          <w:noProof/>
          <w:sz w:val="20"/>
          <w:szCs w:val="20"/>
        </w:rPr>
        <w:tab/>
        <w:t xml:space="preserve">. For as to the explanation given by Ambrose, as </w:t>
      </w:r>
      <w:r w:rsidRPr="005249AC">
        <w:rPr>
          <w:rFonts w:ascii="Times New Roman" w:hAnsi="Times New Roman"/>
          <w:noProof/>
          <w:sz w:val="20"/>
          <w:szCs w:val="20"/>
        </w:rPr>
        <w:tab/>
        <w:t>referring to other persons' wives, who followed the</w:t>
      </w:r>
      <w:r w:rsidRPr="005249AC">
        <w:rPr>
          <w:rFonts w:ascii="Times New Roman" w:hAnsi="Times New Roman"/>
          <w:noProof/>
          <w:sz w:val="20"/>
          <w:szCs w:val="20"/>
        </w:rPr>
        <w:tab/>
        <w:t xml:space="preserve"> </w:t>
      </w:r>
      <w:r w:rsidRPr="005249AC">
        <w:rPr>
          <w:rFonts w:ascii="Times New Roman" w:hAnsi="Times New Roman"/>
          <w:noProof/>
          <w:sz w:val="20"/>
          <w:szCs w:val="20"/>
        </w:rPr>
        <w:tab/>
        <w:t xml:space="preserve">Apostles for the purpose of hearing their doctrine, it is </w:t>
      </w:r>
      <w:r w:rsidRPr="005249AC">
        <w:rPr>
          <w:rFonts w:ascii="Times New Roman" w:hAnsi="Times New Roman"/>
          <w:noProof/>
          <w:sz w:val="20"/>
          <w:szCs w:val="20"/>
        </w:rPr>
        <w:tab/>
        <w:t>exceedingly forced</w:t>
      </w:r>
      <w:r w:rsidRPr="005249AC">
        <w:rPr>
          <w:rFonts w:ascii="Times New Roman" w:hAnsi="Times New Roman"/>
          <w:noProof/>
          <w:sz w:val="20"/>
          <w:szCs w:val="20"/>
        </w:rPr>
        <w:footnoteReference w:id="21"/>
      </w:r>
      <w:r w:rsidRPr="005249AC">
        <w:rPr>
          <w:rFonts w:ascii="Times New Roman" w:hAnsi="Times New Roman"/>
          <w:noProof/>
          <w:sz w:val="20"/>
          <w:szCs w:val="20"/>
        </w:rPr>
        <w:t xml:space="preserve">. </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In the interpretation in 2 Cor. 2:5 "But if any have caused grief, he hath not grieved me, but in part; that I may not overcharge you all." Calvin mentioned that Ambrose's interpretation was ingenious: "I am aware, that Ambrose understands it as meaning - part of the saints, inasmuch as the Church of the Corinthians was divided but that is more ingenious than solid.</w:t>
      </w:r>
      <w:r w:rsidRPr="005249AC">
        <w:rPr>
          <w:rFonts w:ascii="Times New Roman" w:hAnsi="Times New Roman"/>
          <w:noProof/>
          <w:sz w:val="20"/>
          <w:szCs w:val="20"/>
        </w:rPr>
        <w:footnoteReference w:id="22"/>
      </w:r>
      <w:r w:rsidRPr="005249AC">
        <w:rPr>
          <w:rFonts w:ascii="Times New Roman" w:hAnsi="Times New Roman"/>
          <w:noProof/>
          <w:sz w:val="20"/>
          <w:szCs w:val="20"/>
        </w:rPr>
        <w:t xml:space="preserve">" From the perspective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Calvin </w:t>
      </w:r>
      <w:r w:rsidRPr="005249AC">
        <w:rPr>
          <w:rFonts w:ascii="Times New Roman" w:hAnsi="Times New Roman"/>
          <w:noProof/>
          <w:sz w:val="20"/>
          <w:szCs w:val="20"/>
        </w:rPr>
        <w:lastRenderedPageBreak/>
        <w:t xml:space="preserve">rejected the forced interpretation of Ambrose. According to Calvin, in order to justify doctrine many interpreters forced and twisted the real sense of the text of Scripture. Calvin tried to find out the genuine meaning of the text. Secondly, Calvin did not agree with Ambrose because Ambrose's interpretation was, in his view, </w:t>
      </w:r>
      <w:r w:rsidRPr="001472B4">
        <w:rPr>
          <w:rFonts w:ascii="Times New Roman" w:hAnsi="Times New Roman"/>
          <w:noProof/>
          <w:color w:val="FF0000"/>
          <w:sz w:val="20"/>
          <w:szCs w:val="20"/>
        </w:rPr>
        <w:t>not suitable to the intention of the author of Scripture</w:t>
      </w:r>
      <w:r w:rsidRPr="005249AC">
        <w:rPr>
          <w:rFonts w:ascii="Times New Roman" w:hAnsi="Times New Roman"/>
          <w:noProof/>
          <w:sz w:val="20"/>
          <w:szCs w:val="20"/>
        </w:rPr>
        <w:t>. For example, in the interpretation of 1 Thessalonians 5:22 "Abstain from all appearance of evil." Calvin demonstrated that his interpretation was closer to Paul's intention than Ambrose's: "At the same time, neither of them (Chrysostom and Ambrose) explains Paul's meaning, and perhaps have not altogether hit upon what he intends. I shall state briefly my view of it.</w:t>
      </w:r>
      <w:r w:rsidRPr="005249AC">
        <w:rPr>
          <w:rFonts w:ascii="Times New Roman" w:hAnsi="Times New Roman"/>
          <w:noProof/>
          <w:sz w:val="20"/>
          <w:szCs w:val="20"/>
        </w:rPr>
        <w:footnoteReference w:id="23"/>
      </w:r>
      <w:r w:rsidRPr="005249AC">
        <w:rPr>
          <w:rFonts w:ascii="Times New Roman" w:hAnsi="Times New Roman"/>
          <w:noProof/>
          <w:sz w:val="20"/>
          <w:szCs w:val="20"/>
        </w:rPr>
        <w:t xml:space="preserve">" Calvin showed the suitability of the text, one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by means of the intention of the author, the historical situation, the grammatical construction, and the context of the present passage. Calvin, however, was not always against the interpretation of Ambrose and sometimes agreed with him if his view was suitable</w:t>
      </w:r>
      <w:r w:rsidRPr="005249AC">
        <w:rPr>
          <w:rFonts w:ascii="Times New Roman" w:hAnsi="Times New Roman"/>
          <w:noProof/>
          <w:sz w:val="20"/>
          <w:szCs w:val="20"/>
        </w:rPr>
        <w:footnoteReference w:id="24"/>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ind w:firstLine="2880"/>
        <w:rPr>
          <w:rFonts w:ascii="Times New Roman" w:hAnsi="Times New Roman"/>
          <w:noProof/>
          <w:sz w:val="20"/>
          <w:szCs w:val="20"/>
        </w:rPr>
      </w:pPr>
      <w:r w:rsidRPr="005249AC">
        <w:rPr>
          <w:rFonts w:ascii="Times New Roman" w:hAnsi="Times New Roman"/>
          <w:noProof/>
          <w:sz w:val="20"/>
          <w:szCs w:val="20"/>
        </w:rPr>
        <w:t>C. Jerome</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rPr>
          <w:rFonts w:ascii="Times New Roman" w:hAnsi="Times New Roman"/>
          <w:sz w:val="20"/>
          <w:szCs w:val="20"/>
        </w:rPr>
      </w:pPr>
      <w:r w:rsidRPr="005249AC">
        <w:rPr>
          <w:rFonts w:ascii="Times New Roman" w:hAnsi="Times New Roman"/>
          <w:b/>
          <w:bCs/>
          <w:color w:val="252525"/>
          <w:sz w:val="20"/>
          <w:szCs w:val="20"/>
          <w:shd w:val="clear" w:color="auto" w:fill="FFFFFF"/>
        </w:rPr>
        <w:t>Jerome</w:t>
      </w:r>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w:t>
      </w:r>
      <w:hyperlink r:id="rId60" w:tooltip="Help:IPA for English" w:history="1">
        <w:r w:rsidRPr="005249AC">
          <w:rPr>
            <w:rStyle w:val="a6"/>
            <w:rFonts w:ascii="Times New Roman" w:hAnsi="Times New Roman"/>
            <w:color w:val="0B0080"/>
            <w:sz w:val="20"/>
            <w:szCs w:val="20"/>
            <w:shd w:val="clear" w:color="auto" w:fill="FFFFFF"/>
          </w:rPr>
          <w:t>/dʒəˈroʊm/</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hyperlink r:id="rId61" w:tooltip="Latin language" w:history="1">
        <w:r w:rsidRPr="005249AC">
          <w:rPr>
            <w:rStyle w:val="a6"/>
            <w:rFonts w:ascii="Times New Roman" w:hAnsi="Times New Roman"/>
            <w:color w:val="0B0080"/>
            <w:sz w:val="20"/>
            <w:szCs w:val="20"/>
            <w:shd w:val="clear" w:color="auto" w:fill="FFFFFF"/>
          </w:rPr>
          <w:t>Latin</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i/>
          <w:iCs/>
          <w:color w:val="252525"/>
          <w:sz w:val="20"/>
          <w:szCs w:val="20"/>
          <w:shd w:val="clear" w:color="auto" w:fill="FFFFFF"/>
          <w:lang w:val="la-Latn"/>
        </w:rPr>
        <w:t>Eusebius Sophronius Hieronymus</w:t>
      </w:r>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hyperlink r:id="rId62" w:tooltip="Greek language" w:history="1">
        <w:r w:rsidRPr="005249AC">
          <w:rPr>
            <w:rStyle w:val="a6"/>
            <w:rFonts w:ascii="Times New Roman" w:hAnsi="Times New Roman"/>
            <w:color w:val="0B0080"/>
            <w:sz w:val="20"/>
            <w:szCs w:val="20"/>
            <w:shd w:val="clear" w:color="auto" w:fill="FFFFFF"/>
          </w:rPr>
          <w:t>Greek</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Εὐσέβιος Σωφρόνιος Ἱερώνυμος; c.  347 – 30 September 420) was a</w:t>
      </w:r>
      <w:r w:rsidRPr="005249AC">
        <w:rPr>
          <w:rStyle w:val="apple-converted-space"/>
          <w:rFonts w:ascii="Times New Roman" w:hAnsi="Times New Roman"/>
          <w:color w:val="252525"/>
          <w:sz w:val="20"/>
          <w:szCs w:val="20"/>
          <w:shd w:val="clear" w:color="auto" w:fill="FFFFFF"/>
        </w:rPr>
        <w:t> </w:t>
      </w:r>
      <w:hyperlink r:id="rId63" w:tooltip="Priest" w:history="1">
        <w:r w:rsidRPr="005249AC">
          <w:rPr>
            <w:rStyle w:val="a6"/>
            <w:rFonts w:ascii="Times New Roman" w:hAnsi="Times New Roman"/>
            <w:color w:val="0B0080"/>
            <w:sz w:val="20"/>
            <w:szCs w:val="20"/>
            <w:shd w:val="clear" w:color="auto" w:fill="FFFFFF"/>
          </w:rPr>
          <w:t>priest</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hyperlink r:id="rId64" w:tooltip="Confessor" w:history="1">
        <w:r w:rsidRPr="005249AC">
          <w:rPr>
            <w:rStyle w:val="a6"/>
            <w:rFonts w:ascii="Times New Roman" w:hAnsi="Times New Roman"/>
            <w:color w:val="0B0080"/>
            <w:sz w:val="20"/>
            <w:szCs w:val="20"/>
            <w:shd w:val="clear" w:color="auto" w:fill="FFFFFF"/>
          </w:rPr>
          <w:t>confessor</w:t>
        </w:r>
      </w:hyperlink>
      <w:r w:rsidRPr="005249AC">
        <w:rPr>
          <w:rFonts w:ascii="Times New Roman" w:hAnsi="Times New Roman"/>
          <w:color w:val="252525"/>
          <w:sz w:val="20"/>
          <w:szCs w:val="20"/>
          <w:shd w:val="clear" w:color="auto" w:fill="FFFFFF"/>
        </w:rPr>
        <w:t>, theologian and historian, who also became a</w:t>
      </w:r>
      <w:r w:rsidRPr="005249AC">
        <w:rPr>
          <w:rStyle w:val="apple-converted-space"/>
          <w:rFonts w:ascii="Times New Roman" w:hAnsi="Times New Roman"/>
          <w:color w:val="252525"/>
          <w:sz w:val="20"/>
          <w:szCs w:val="20"/>
          <w:shd w:val="clear" w:color="auto" w:fill="FFFFFF"/>
        </w:rPr>
        <w:t> </w:t>
      </w:r>
      <w:hyperlink r:id="rId65" w:tooltip="Doctor of the Church" w:history="1">
        <w:r w:rsidRPr="005249AC">
          <w:rPr>
            <w:rStyle w:val="a6"/>
            <w:rFonts w:ascii="Times New Roman" w:hAnsi="Times New Roman"/>
            <w:color w:val="0B0080"/>
            <w:sz w:val="20"/>
            <w:szCs w:val="20"/>
            <w:shd w:val="clear" w:color="auto" w:fill="FFFFFF"/>
          </w:rPr>
          <w:t>Doctor of the Church</w:t>
        </w:r>
      </w:hyperlink>
      <w:r w:rsidRPr="005249AC">
        <w:rPr>
          <w:rFonts w:ascii="Times New Roman" w:hAnsi="Times New Roman"/>
          <w:color w:val="252525"/>
          <w:sz w:val="20"/>
          <w:szCs w:val="20"/>
          <w:shd w:val="clear" w:color="auto" w:fill="FFFFFF"/>
        </w:rPr>
        <w:t>. He was the son of Eusebius, born at</w:t>
      </w:r>
      <w:r w:rsidRPr="005249AC">
        <w:rPr>
          <w:rStyle w:val="apple-converted-space"/>
          <w:rFonts w:ascii="Times New Roman" w:hAnsi="Times New Roman"/>
          <w:color w:val="252525"/>
          <w:sz w:val="20"/>
          <w:szCs w:val="20"/>
          <w:shd w:val="clear" w:color="auto" w:fill="FFFFFF"/>
        </w:rPr>
        <w:t> </w:t>
      </w:r>
      <w:hyperlink r:id="rId66" w:tooltip="Stridon" w:history="1">
        <w:r w:rsidRPr="005249AC">
          <w:rPr>
            <w:rStyle w:val="a6"/>
            <w:rFonts w:ascii="Times New Roman" w:hAnsi="Times New Roman"/>
            <w:color w:val="0B0080"/>
            <w:sz w:val="20"/>
            <w:szCs w:val="20"/>
            <w:shd w:val="clear" w:color="auto" w:fill="FFFFFF"/>
          </w:rPr>
          <w:t>Stridon</w:t>
        </w:r>
      </w:hyperlink>
      <w:r w:rsidRPr="005249AC">
        <w:rPr>
          <w:rFonts w:ascii="Times New Roman" w:hAnsi="Times New Roman"/>
          <w:color w:val="252525"/>
          <w:sz w:val="20"/>
          <w:szCs w:val="20"/>
          <w:shd w:val="clear" w:color="auto" w:fill="FFFFFF"/>
        </w:rPr>
        <w:t>, a village near</w:t>
      </w:r>
      <w:r w:rsidRPr="005249AC">
        <w:rPr>
          <w:rStyle w:val="apple-converted-space"/>
          <w:rFonts w:ascii="Times New Roman" w:hAnsi="Times New Roman"/>
          <w:color w:val="252525"/>
          <w:sz w:val="20"/>
          <w:szCs w:val="20"/>
          <w:shd w:val="clear" w:color="auto" w:fill="FFFFFF"/>
        </w:rPr>
        <w:t> </w:t>
      </w:r>
      <w:hyperlink r:id="rId67" w:tooltip="Emona" w:history="1">
        <w:r w:rsidRPr="005249AC">
          <w:rPr>
            <w:rStyle w:val="a6"/>
            <w:rFonts w:ascii="Times New Roman" w:hAnsi="Times New Roman"/>
            <w:color w:val="0B0080"/>
            <w:sz w:val="20"/>
            <w:szCs w:val="20"/>
            <w:shd w:val="clear" w:color="auto" w:fill="FFFFFF"/>
          </w:rPr>
          <w:t>Emona</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on the border of</w:t>
      </w:r>
      <w:r w:rsidRPr="005249AC">
        <w:rPr>
          <w:rStyle w:val="apple-converted-space"/>
          <w:rFonts w:ascii="Times New Roman" w:hAnsi="Times New Roman"/>
          <w:color w:val="252525"/>
          <w:sz w:val="20"/>
          <w:szCs w:val="20"/>
          <w:shd w:val="clear" w:color="auto" w:fill="FFFFFF"/>
        </w:rPr>
        <w:t> </w:t>
      </w:r>
      <w:hyperlink r:id="rId68" w:tooltip="Dalmatia (Roman province)" w:history="1">
        <w:r w:rsidRPr="005249AC">
          <w:rPr>
            <w:rStyle w:val="a6"/>
            <w:rFonts w:ascii="Times New Roman" w:hAnsi="Times New Roman"/>
            <w:color w:val="0B0080"/>
            <w:sz w:val="20"/>
            <w:szCs w:val="20"/>
            <w:shd w:val="clear" w:color="auto" w:fill="FFFFFF"/>
          </w:rPr>
          <w:t>Dalmatia</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and</w:t>
      </w:r>
      <w:r w:rsidRPr="005249AC">
        <w:rPr>
          <w:rStyle w:val="apple-converted-space"/>
          <w:rFonts w:ascii="Times New Roman" w:hAnsi="Times New Roman"/>
          <w:color w:val="252525"/>
          <w:sz w:val="20"/>
          <w:szCs w:val="20"/>
          <w:shd w:val="clear" w:color="auto" w:fill="FFFFFF"/>
        </w:rPr>
        <w:t> </w:t>
      </w:r>
      <w:hyperlink r:id="rId69" w:tooltip="Pannonia" w:history="1">
        <w:r w:rsidRPr="005249AC">
          <w:rPr>
            <w:rStyle w:val="a6"/>
            <w:rFonts w:ascii="Times New Roman" w:hAnsi="Times New Roman"/>
            <w:color w:val="0B0080"/>
            <w:sz w:val="20"/>
            <w:szCs w:val="20"/>
            <w:shd w:val="clear" w:color="auto" w:fill="FFFFFF"/>
          </w:rPr>
          <w:t>Pannonia</w:t>
        </w:r>
      </w:hyperlink>
      <w:r w:rsidRPr="005249AC">
        <w:rPr>
          <w:rFonts w:ascii="Times New Roman" w:hAnsi="Times New Roman"/>
          <w:color w:val="252525"/>
          <w:sz w:val="20"/>
          <w:szCs w:val="20"/>
          <w:shd w:val="clear" w:color="auto" w:fill="FFFFFF"/>
        </w:rPr>
        <w:t>, then part of northeastern</w:t>
      </w:r>
      <w:hyperlink r:id="rId70" w:tooltip="Roman Italy" w:history="1">
        <w:r w:rsidRPr="005249AC">
          <w:rPr>
            <w:rStyle w:val="a6"/>
            <w:rFonts w:ascii="Times New Roman" w:hAnsi="Times New Roman"/>
            <w:color w:val="0B0080"/>
            <w:sz w:val="20"/>
            <w:szCs w:val="20"/>
            <w:shd w:val="clear" w:color="auto" w:fill="FFFFFF"/>
          </w:rPr>
          <w:t>Italy</w:t>
        </w:r>
      </w:hyperlink>
      <w:r w:rsidRPr="005249AC">
        <w:rPr>
          <w:rFonts w:ascii="Times New Roman" w:hAnsi="Times New Roman"/>
          <w:color w:val="252525"/>
          <w:sz w:val="20"/>
          <w:szCs w:val="20"/>
          <w:shd w:val="clear" w:color="auto" w:fill="FFFFFF"/>
        </w:rPr>
        <w:t>.</w:t>
      </w:r>
      <w:hyperlink r:id="rId71" w:anchor="cite_note-1" w:history="1">
        <w:r w:rsidRPr="005249AC">
          <w:rPr>
            <w:rStyle w:val="a6"/>
            <w:rFonts w:ascii="Times New Roman" w:hAnsi="Times New Roman"/>
            <w:color w:val="0B0080"/>
            <w:sz w:val="20"/>
            <w:szCs w:val="20"/>
            <w:shd w:val="clear" w:color="auto" w:fill="FFFFFF"/>
            <w:vertAlign w:val="superscript"/>
          </w:rPr>
          <w:t>[1]</w:t>
        </w:r>
      </w:hyperlink>
      <w:hyperlink r:id="rId72" w:anchor="cite_note-2" w:history="1">
        <w:r w:rsidRPr="005249AC">
          <w:rPr>
            <w:rStyle w:val="a6"/>
            <w:rFonts w:ascii="Times New Roman" w:hAnsi="Times New Roman"/>
            <w:color w:val="0B0080"/>
            <w:sz w:val="20"/>
            <w:szCs w:val="20"/>
            <w:shd w:val="clear" w:color="auto" w:fill="FFFFFF"/>
            <w:vertAlign w:val="superscript"/>
          </w:rPr>
          <w:t>[2]</w:t>
        </w:r>
      </w:hyperlink>
      <w:hyperlink r:id="rId73" w:anchor="cite_note-3" w:history="1">
        <w:r w:rsidRPr="005249AC">
          <w:rPr>
            <w:rStyle w:val="a6"/>
            <w:rFonts w:ascii="Times New Roman" w:hAnsi="Times New Roman"/>
            <w:color w:val="0B0080"/>
            <w:sz w:val="20"/>
            <w:szCs w:val="20"/>
            <w:shd w:val="clear" w:color="auto" w:fill="FFFFFF"/>
            <w:vertAlign w:val="superscript"/>
          </w:rPr>
          <w:t>[3]</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He is best known for his translation of most of the</w:t>
      </w:r>
      <w:r w:rsidRPr="005249AC">
        <w:rPr>
          <w:rStyle w:val="apple-converted-space"/>
          <w:rFonts w:ascii="Times New Roman" w:hAnsi="Times New Roman"/>
          <w:color w:val="252525"/>
          <w:sz w:val="20"/>
          <w:szCs w:val="20"/>
          <w:shd w:val="clear" w:color="auto" w:fill="FFFFFF"/>
        </w:rPr>
        <w:t> </w:t>
      </w:r>
      <w:hyperlink r:id="rId74" w:tooltip="Bible" w:history="1">
        <w:r w:rsidRPr="005249AC">
          <w:rPr>
            <w:rStyle w:val="a6"/>
            <w:rFonts w:ascii="Times New Roman" w:hAnsi="Times New Roman"/>
            <w:color w:val="0B0080"/>
            <w:sz w:val="20"/>
            <w:szCs w:val="20"/>
            <w:shd w:val="clear" w:color="auto" w:fill="FFFFFF"/>
          </w:rPr>
          <w:t>Bible</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into</w:t>
      </w:r>
      <w:r w:rsidRPr="005249AC">
        <w:rPr>
          <w:rStyle w:val="apple-converted-space"/>
          <w:rFonts w:ascii="Times New Roman" w:hAnsi="Times New Roman"/>
          <w:color w:val="252525"/>
          <w:sz w:val="20"/>
          <w:szCs w:val="20"/>
          <w:shd w:val="clear" w:color="auto" w:fill="FFFFFF"/>
        </w:rPr>
        <w:t> </w:t>
      </w:r>
      <w:hyperlink r:id="rId75" w:tooltip="Latin" w:history="1">
        <w:r w:rsidRPr="005249AC">
          <w:rPr>
            <w:rStyle w:val="a6"/>
            <w:rFonts w:ascii="Times New Roman" w:hAnsi="Times New Roman"/>
            <w:color w:val="0B0080"/>
            <w:sz w:val="20"/>
            <w:szCs w:val="20"/>
            <w:shd w:val="clear" w:color="auto" w:fill="FFFFFF"/>
          </w:rPr>
          <w:t>Latin</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(the translation that became known as the</w:t>
      </w:r>
      <w:hyperlink r:id="rId76" w:tooltip="Vulgate" w:history="1">
        <w:r w:rsidRPr="005249AC">
          <w:rPr>
            <w:rStyle w:val="a6"/>
            <w:rFonts w:ascii="Times New Roman" w:hAnsi="Times New Roman"/>
            <w:color w:val="0B0080"/>
            <w:sz w:val="20"/>
            <w:szCs w:val="20"/>
            <w:shd w:val="clear" w:color="auto" w:fill="FFFFFF"/>
          </w:rPr>
          <w:t>Vulgate</w:t>
        </w:r>
      </w:hyperlink>
      <w:r w:rsidRPr="005249AC">
        <w:rPr>
          <w:rFonts w:ascii="Times New Roman" w:hAnsi="Times New Roman"/>
          <w:color w:val="252525"/>
          <w:sz w:val="20"/>
          <w:szCs w:val="20"/>
          <w:shd w:val="clear" w:color="auto" w:fill="FFFFFF"/>
        </w:rPr>
        <w:t>), and his commentaries on the</w:t>
      </w:r>
      <w:r w:rsidRPr="005249AC">
        <w:rPr>
          <w:rStyle w:val="apple-converted-space"/>
          <w:rFonts w:ascii="Times New Roman" w:hAnsi="Times New Roman"/>
          <w:color w:val="252525"/>
          <w:sz w:val="20"/>
          <w:szCs w:val="20"/>
          <w:shd w:val="clear" w:color="auto" w:fill="FFFFFF"/>
        </w:rPr>
        <w:t> </w:t>
      </w:r>
      <w:hyperlink r:id="rId77" w:tooltip="Gospels" w:history="1">
        <w:r w:rsidRPr="005249AC">
          <w:rPr>
            <w:rStyle w:val="a6"/>
            <w:rFonts w:ascii="Times New Roman" w:hAnsi="Times New Roman"/>
            <w:color w:val="0B0080"/>
            <w:sz w:val="20"/>
            <w:szCs w:val="20"/>
            <w:shd w:val="clear" w:color="auto" w:fill="FFFFFF"/>
          </w:rPr>
          <w:t>Gospels</w:t>
        </w:r>
      </w:hyperlink>
      <w:r w:rsidRPr="005249AC">
        <w:rPr>
          <w:rFonts w:ascii="Times New Roman" w:hAnsi="Times New Roman"/>
          <w:color w:val="252525"/>
          <w:sz w:val="20"/>
          <w:szCs w:val="20"/>
          <w:shd w:val="clear" w:color="auto" w:fill="FFFFFF"/>
        </w:rPr>
        <w:t>. His list of writings is extensive.</w:t>
      </w:r>
      <w:hyperlink r:id="rId78" w:anchor="cite_note-4" w:history="1">
        <w:r w:rsidRPr="005249AC">
          <w:rPr>
            <w:rStyle w:val="a6"/>
            <w:rFonts w:ascii="Times New Roman" w:hAnsi="Times New Roman"/>
            <w:color w:val="0B0080"/>
            <w:sz w:val="20"/>
            <w:szCs w:val="20"/>
            <w:shd w:val="clear" w:color="auto" w:fill="FFFFFF"/>
            <w:vertAlign w:val="superscript"/>
          </w:rPr>
          <w:t>[4]</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The protégé of</w:t>
      </w:r>
      <w:r w:rsidRPr="005249AC">
        <w:rPr>
          <w:rStyle w:val="apple-converted-space"/>
          <w:rFonts w:ascii="Times New Roman" w:hAnsi="Times New Roman"/>
          <w:color w:val="252525"/>
          <w:sz w:val="20"/>
          <w:szCs w:val="20"/>
          <w:shd w:val="clear" w:color="auto" w:fill="FFFFFF"/>
        </w:rPr>
        <w:t> </w:t>
      </w:r>
      <w:hyperlink r:id="rId79" w:tooltip="Pope Damasus I" w:history="1">
        <w:r w:rsidRPr="005249AC">
          <w:rPr>
            <w:rStyle w:val="a6"/>
            <w:rFonts w:ascii="Times New Roman" w:hAnsi="Times New Roman"/>
            <w:color w:val="0B0080"/>
            <w:sz w:val="20"/>
            <w:szCs w:val="20"/>
            <w:shd w:val="clear" w:color="auto" w:fill="FFFFFF"/>
          </w:rPr>
          <w:t>Pope Damasus I</w:t>
        </w:r>
      </w:hyperlink>
      <w:r w:rsidRPr="005249AC">
        <w:rPr>
          <w:rFonts w:ascii="Times New Roman" w:hAnsi="Times New Roman"/>
          <w:color w:val="252525"/>
          <w:sz w:val="20"/>
          <w:szCs w:val="20"/>
          <w:shd w:val="clear" w:color="auto" w:fill="FFFFFF"/>
        </w:rPr>
        <w:t>, who died in December of 384, Jerome was known for his teachings on Christian moral life, especially to those living in cosmopolitan centers such as Rome. In many cases, he focused his attention to the lives of women and identified how a woman devoted to</w:t>
      </w:r>
      <w:r w:rsidRPr="005249AC">
        <w:rPr>
          <w:rStyle w:val="apple-converted-space"/>
          <w:rFonts w:ascii="Times New Roman" w:hAnsi="Times New Roman"/>
          <w:color w:val="252525"/>
          <w:sz w:val="20"/>
          <w:szCs w:val="20"/>
          <w:shd w:val="clear" w:color="auto" w:fill="FFFFFF"/>
        </w:rPr>
        <w:t> </w:t>
      </w:r>
      <w:hyperlink r:id="rId80" w:tooltip="Jesus" w:history="1">
        <w:r w:rsidRPr="005249AC">
          <w:rPr>
            <w:rStyle w:val="a6"/>
            <w:rFonts w:ascii="Times New Roman" w:hAnsi="Times New Roman"/>
            <w:color w:val="0B0080"/>
            <w:sz w:val="20"/>
            <w:szCs w:val="20"/>
            <w:shd w:val="clear" w:color="auto" w:fill="FFFFFF"/>
          </w:rPr>
          <w:t>Jesus</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should live her life. This focus stemmed from his close patron relationships with several prominent female ascetics who were members of affluent</w:t>
      </w:r>
      <w:r w:rsidRPr="005249AC">
        <w:rPr>
          <w:rStyle w:val="apple-converted-space"/>
          <w:rFonts w:ascii="Times New Roman" w:hAnsi="Times New Roman"/>
          <w:color w:val="252525"/>
          <w:sz w:val="20"/>
          <w:szCs w:val="20"/>
          <w:shd w:val="clear" w:color="auto" w:fill="FFFFFF"/>
        </w:rPr>
        <w:t> </w:t>
      </w:r>
      <w:hyperlink r:id="rId81" w:tooltip="Senatorial class" w:history="1">
        <w:r w:rsidRPr="005249AC">
          <w:rPr>
            <w:rStyle w:val="a6"/>
            <w:rFonts w:ascii="Times New Roman" w:hAnsi="Times New Roman"/>
            <w:color w:val="0B0080"/>
            <w:sz w:val="20"/>
            <w:szCs w:val="20"/>
            <w:shd w:val="clear" w:color="auto" w:fill="FFFFFF"/>
          </w:rPr>
          <w:t xml:space="preserve">senatorial </w:t>
        </w:r>
        <w:r w:rsidR="00803907">
          <w:rPr>
            <w:rStyle w:val="a6"/>
            <w:rFonts w:ascii="Times New Roman" w:hAnsi="Times New Roman" w:hint="eastAsia"/>
            <w:color w:val="0B0080"/>
            <w:sz w:val="20"/>
            <w:szCs w:val="20"/>
            <w:shd w:val="clear" w:color="auto" w:fill="FFFFFF"/>
          </w:rPr>
          <w:t>(congress)</w:t>
        </w:r>
        <w:r w:rsidRPr="005249AC">
          <w:rPr>
            <w:rStyle w:val="a6"/>
            <w:rFonts w:ascii="Times New Roman" w:hAnsi="Times New Roman"/>
            <w:color w:val="0B0080"/>
            <w:sz w:val="20"/>
            <w:szCs w:val="20"/>
            <w:shd w:val="clear" w:color="auto" w:fill="FFFFFF"/>
          </w:rPr>
          <w:t>families</w:t>
        </w:r>
      </w:hyperlink>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ind w:left="720"/>
        <w:jc w:val="both"/>
        <w:rPr>
          <w:rFonts w:ascii="Times New Roman" w:hAnsi="Times New Roman"/>
          <w:noProof/>
          <w:sz w:val="20"/>
          <w:szCs w:val="20"/>
        </w:rPr>
      </w:pPr>
    </w:p>
    <w:p w:rsidR="00F84A76" w:rsidRPr="005249AC" w:rsidRDefault="00F84A76" w:rsidP="00F84A76">
      <w:pPr>
        <w:spacing w:line="480" w:lineRule="auto"/>
        <w:ind w:left="720"/>
        <w:jc w:val="both"/>
        <w:rPr>
          <w:rFonts w:ascii="Times New Roman" w:hAnsi="Times New Roman"/>
          <w:noProof/>
          <w:sz w:val="20"/>
          <w:szCs w:val="20"/>
        </w:rPr>
      </w:pPr>
      <w:r w:rsidRPr="005249AC">
        <w:rPr>
          <w:rFonts w:ascii="Times New Roman" w:hAnsi="Times New Roman"/>
          <w:noProof/>
          <w:sz w:val="20"/>
          <w:szCs w:val="20"/>
        </w:rPr>
        <w:t>What other life can there be without the knowledge of the Scripture, for thrrought these Chrsit himself, who is thhe life of the faithful, becomes known? Jerome Epistle 30.7</w:t>
      </w:r>
    </w:p>
    <w:p w:rsidR="00F84A76" w:rsidRPr="005249AC" w:rsidRDefault="009B06A1" w:rsidP="00F84A76">
      <w:pPr>
        <w:spacing w:line="480" w:lineRule="auto"/>
        <w:ind w:left="720"/>
        <w:jc w:val="both"/>
        <w:rPr>
          <w:rFonts w:ascii="Times New Roman" w:hAnsi="Times New Roman"/>
          <w:noProof/>
          <w:sz w:val="20"/>
          <w:szCs w:val="20"/>
        </w:rPr>
      </w:pPr>
      <w:r w:rsidRPr="009B06A1">
        <w:rPr>
          <w:rFonts w:hint="eastAsia"/>
          <w:sz w:val="20"/>
          <w:szCs w:val="20"/>
        </w:rPr>
        <w:t xml:space="preserve"> </w:t>
      </w:r>
      <w:r w:rsidRPr="009B06A1">
        <w:rPr>
          <w:sz w:val="20"/>
          <w:szCs w:val="20"/>
        </w:rPr>
        <w:t>D</w:t>
      </w:r>
      <w:r w:rsidRPr="009B06A1">
        <w:rPr>
          <w:rFonts w:hint="eastAsia"/>
          <w:sz w:val="20"/>
          <w:szCs w:val="20"/>
        </w:rPr>
        <w:t>ownload</w:t>
      </w:r>
      <w:r>
        <w:rPr>
          <w:rFonts w:hint="eastAsia"/>
        </w:rPr>
        <w:t xml:space="preserve"> </w:t>
      </w:r>
      <w:r w:rsidRPr="005249AC">
        <w:rPr>
          <w:rFonts w:ascii="Times New Roman" w:hAnsi="Times New Roman"/>
          <w:noProof/>
          <w:sz w:val="20"/>
          <w:szCs w:val="20"/>
        </w:rPr>
        <w:t xml:space="preserve">Jerome Epistle </w:t>
      </w:r>
      <w:r>
        <w:rPr>
          <w:rFonts w:ascii="Times New Roman" w:hAnsi="Times New Roman" w:hint="eastAsia"/>
          <w:noProof/>
          <w:sz w:val="20"/>
          <w:szCs w:val="20"/>
        </w:rPr>
        <w:t xml:space="preserve">, </w:t>
      </w:r>
      <w:hyperlink r:id="rId82" w:history="1">
        <w:r w:rsidR="00F84A76" w:rsidRPr="005249AC">
          <w:rPr>
            <w:rStyle w:val="a6"/>
            <w:rFonts w:ascii="Times New Roman" w:hAnsi="Times New Roman"/>
            <w:noProof/>
            <w:sz w:val="20"/>
            <w:szCs w:val="20"/>
          </w:rPr>
          <w:t>http://ixoyc.net/data/fathers/619.pdf</w:t>
        </w:r>
      </w:hyperlink>
    </w:p>
    <w:p w:rsidR="00F84A76" w:rsidRPr="005249AC" w:rsidRDefault="00F84A76" w:rsidP="00F84A76">
      <w:pPr>
        <w:spacing w:line="480" w:lineRule="auto"/>
        <w:ind w:left="720"/>
        <w:jc w:val="both"/>
        <w:rPr>
          <w:rFonts w:ascii="Times New Roman" w:hAnsi="Times New Roman"/>
          <w:noProof/>
          <w:sz w:val="20"/>
          <w:szCs w:val="20"/>
        </w:rPr>
      </w:pPr>
    </w:p>
    <w:p w:rsidR="00F84A76" w:rsidRPr="005249AC" w:rsidRDefault="00F84A76" w:rsidP="00F84A76">
      <w:pPr>
        <w:spacing w:line="480" w:lineRule="auto"/>
        <w:ind w:left="720"/>
        <w:jc w:val="both"/>
        <w:rPr>
          <w:rFonts w:ascii="Times New Roman" w:hAnsi="Times New Roman"/>
          <w:noProof/>
          <w:sz w:val="20"/>
          <w:szCs w:val="20"/>
        </w:rPr>
      </w:pPr>
      <w:r w:rsidRPr="005249AC">
        <w:rPr>
          <w:rFonts w:ascii="Times New Roman" w:hAnsi="Times New Roman"/>
          <w:noProof/>
          <w:sz w:val="20"/>
          <w:szCs w:val="20"/>
        </w:rPr>
        <w:t>*Lite</w:t>
      </w:r>
      <w:r w:rsidR="009B06A1">
        <w:rPr>
          <w:rFonts w:ascii="Times New Roman" w:hAnsi="Times New Roman"/>
          <w:noProof/>
          <w:sz w:val="20"/>
          <w:szCs w:val="20"/>
        </w:rPr>
        <w:t>ral Interpretation first- Antio</w:t>
      </w:r>
      <w:r w:rsidRPr="005249AC">
        <w:rPr>
          <w:rFonts w:ascii="Times New Roman" w:hAnsi="Times New Roman"/>
          <w:noProof/>
          <w:sz w:val="20"/>
          <w:szCs w:val="20"/>
        </w:rPr>
        <w:t>ch School’s Influence</w:t>
      </w:r>
    </w:p>
    <w:p w:rsidR="00F84A76" w:rsidRPr="005249AC" w:rsidRDefault="00F84A76" w:rsidP="00F84A76">
      <w:pPr>
        <w:spacing w:line="480" w:lineRule="auto"/>
        <w:ind w:left="720"/>
        <w:jc w:val="both"/>
        <w:rPr>
          <w:rFonts w:ascii="Times New Roman" w:hAnsi="Times New Roman"/>
          <w:noProof/>
          <w:sz w:val="20"/>
          <w:szCs w:val="20"/>
        </w:rPr>
      </w:pPr>
      <w:r w:rsidRPr="005249AC">
        <w:rPr>
          <w:rFonts w:ascii="Times New Roman" w:hAnsi="Times New Roman"/>
          <w:noProof/>
          <w:sz w:val="20"/>
          <w:szCs w:val="20"/>
        </w:rPr>
        <w:t>*Allegory – Origen’s Influence. J. called O</w:t>
      </w:r>
      <w:r w:rsidR="009B06A1">
        <w:rPr>
          <w:rFonts w:ascii="Times New Roman" w:hAnsi="Times New Roman" w:hint="eastAsia"/>
          <w:noProof/>
          <w:sz w:val="20"/>
          <w:szCs w:val="20"/>
        </w:rPr>
        <w:t xml:space="preserve">rigen </w:t>
      </w:r>
      <w:r w:rsidRPr="005249AC">
        <w:rPr>
          <w:rFonts w:ascii="Times New Roman" w:hAnsi="Times New Roman"/>
          <w:noProof/>
          <w:sz w:val="20"/>
          <w:szCs w:val="20"/>
        </w:rPr>
        <w:t>My master.</w:t>
      </w:r>
    </w:p>
    <w:p w:rsidR="00F84A76" w:rsidRPr="005249AC" w:rsidRDefault="00F84A76" w:rsidP="00F84A76">
      <w:pPr>
        <w:spacing w:line="480" w:lineRule="auto"/>
        <w:ind w:left="720"/>
        <w:jc w:val="both"/>
        <w:rPr>
          <w:rFonts w:ascii="Times New Roman" w:hAnsi="Times New Roman"/>
          <w:noProof/>
          <w:sz w:val="20"/>
          <w:szCs w:val="20"/>
        </w:rPr>
      </w:pPr>
      <w:r w:rsidRPr="005249AC">
        <w:rPr>
          <w:rFonts w:ascii="Times New Roman" w:hAnsi="Times New Roman"/>
          <w:noProof/>
          <w:sz w:val="20"/>
          <w:szCs w:val="20"/>
        </w:rPr>
        <w:t>Mt 13:44, followed Origen in the parable of ehe hidden treasure.</w:t>
      </w:r>
    </w:p>
    <w:p w:rsidR="00F84A76" w:rsidRPr="005249AC" w:rsidRDefault="00F84A76" w:rsidP="00F84A76">
      <w:pPr>
        <w:spacing w:line="480" w:lineRule="auto"/>
        <w:ind w:left="720"/>
        <w:jc w:val="both"/>
        <w:rPr>
          <w:rFonts w:ascii="Times New Roman" w:hAnsi="Times New Roman"/>
          <w:noProof/>
          <w:sz w:val="20"/>
          <w:szCs w:val="20"/>
        </w:rPr>
      </w:pPr>
      <w:r w:rsidRPr="005249AC">
        <w:rPr>
          <w:rFonts w:ascii="Times New Roman" w:hAnsi="Times New Roman"/>
          <w:noProof/>
          <w:sz w:val="20"/>
          <w:szCs w:val="20"/>
        </w:rPr>
        <w:t>The treasure is the word of God which appears to be hidden in the body of Christ, or the Holy Scriptures in which rests the knowldege of the Savior, When the treasure is discovered, one m</w:t>
      </w:r>
      <w:r w:rsidR="009B06A1">
        <w:rPr>
          <w:rFonts w:ascii="Times New Roman" w:hAnsi="Times New Roman" w:hint="eastAsia"/>
          <w:noProof/>
          <w:sz w:val="20"/>
          <w:szCs w:val="20"/>
        </w:rPr>
        <w:t>u</w:t>
      </w:r>
      <w:r w:rsidRPr="005249AC">
        <w:rPr>
          <w:rFonts w:ascii="Times New Roman" w:hAnsi="Times New Roman"/>
          <w:noProof/>
          <w:sz w:val="20"/>
          <w:szCs w:val="20"/>
        </w:rPr>
        <w:t>st give up all the emolumenta</w:t>
      </w:r>
      <w:r w:rsidR="009B06A1">
        <w:rPr>
          <w:rFonts w:ascii="Times New Roman" w:hAnsi="Times New Roman" w:hint="eastAsia"/>
          <w:noProof/>
          <w:sz w:val="20"/>
          <w:szCs w:val="20"/>
        </w:rPr>
        <w:t>(</w:t>
      </w:r>
      <w:r w:rsidR="009B06A1">
        <w:rPr>
          <w:rFonts w:ascii="Verdana" w:hAnsi="Verdana"/>
          <w:color w:val="3D7BBF"/>
          <w:sz w:val="13"/>
          <w:szCs w:val="13"/>
          <w:shd w:val="clear" w:color="auto" w:fill="FFFFFF"/>
        </w:rPr>
        <w:t>profit,</w:t>
      </w:r>
      <w:r w:rsidR="009B06A1">
        <w:rPr>
          <w:rFonts w:ascii="Verdana" w:hAnsi="Verdana" w:hint="eastAsia"/>
          <w:color w:val="3D7BBF"/>
          <w:sz w:val="13"/>
          <w:szCs w:val="13"/>
          <w:shd w:val="clear" w:color="auto" w:fill="FFFFFF"/>
        </w:rPr>
        <w:t>)</w:t>
      </w:r>
      <w:r w:rsidRPr="005249AC">
        <w:rPr>
          <w:rFonts w:ascii="Times New Roman" w:hAnsi="Times New Roman"/>
          <w:noProof/>
          <w:sz w:val="20"/>
          <w:szCs w:val="20"/>
        </w:rPr>
        <w:t xml:space="preserve"> in order to possess it. Comm. On  Mat.* Later He renounced Origen’s theology as heretical.</w:t>
      </w:r>
    </w:p>
    <w:p w:rsidR="00F84A76" w:rsidRPr="005249AC" w:rsidRDefault="00F84A76" w:rsidP="00F84A76">
      <w:pPr>
        <w:spacing w:line="480" w:lineRule="auto"/>
        <w:ind w:left="720"/>
        <w:jc w:val="both"/>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Jerome (345-420) used the </w:t>
      </w:r>
      <w:r w:rsidRPr="009B06A1">
        <w:rPr>
          <w:rFonts w:ascii="Times New Roman" w:hAnsi="Times New Roman"/>
          <w:noProof/>
          <w:color w:val="FF0000"/>
          <w:sz w:val="20"/>
          <w:szCs w:val="20"/>
        </w:rPr>
        <w:t>allegorical interpretation of his early days under the influence of Origen</w:t>
      </w:r>
      <w:r w:rsidRPr="005249AC">
        <w:rPr>
          <w:rFonts w:ascii="Times New Roman" w:hAnsi="Times New Roman"/>
          <w:noProof/>
          <w:sz w:val="20"/>
          <w:szCs w:val="20"/>
        </w:rPr>
        <w:t xml:space="preserve">. But later he came to stress the </w:t>
      </w:r>
      <w:r w:rsidRPr="009B06A1">
        <w:rPr>
          <w:rFonts w:ascii="Times New Roman" w:hAnsi="Times New Roman"/>
          <w:noProof/>
          <w:color w:val="FF0000"/>
          <w:sz w:val="20"/>
          <w:szCs w:val="20"/>
        </w:rPr>
        <w:t>historical interpretation of the Old Testament narratives and prophecies</w:t>
      </w:r>
      <w:r w:rsidRPr="005249AC">
        <w:rPr>
          <w:rFonts w:ascii="Times New Roman" w:hAnsi="Times New Roman"/>
          <w:noProof/>
          <w:sz w:val="20"/>
          <w:szCs w:val="20"/>
        </w:rPr>
        <w:t xml:space="preserve"> in his commentaries on Jeremiah. He added the deeper, spiritual sense of a passage to the literal meaning</w:t>
      </w:r>
      <w:r w:rsidRPr="005249AC">
        <w:rPr>
          <w:rFonts w:ascii="Times New Roman" w:hAnsi="Times New Roman"/>
          <w:noProof/>
          <w:sz w:val="20"/>
          <w:szCs w:val="20"/>
        </w:rPr>
        <w:footnoteReference w:id="25"/>
      </w:r>
      <w:r w:rsidRPr="005249AC">
        <w:rPr>
          <w:rFonts w:ascii="Times New Roman" w:hAnsi="Times New Roman"/>
          <w:noProof/>
          <w:sz w:val="20"/>
          <w:szCs w:val="20"/>
        </w:rPr>
        <w:t>. Later he distanced himself somewhat from this allegorical interpretation of Scripture. In spite of this, he could not entirely give up allegorical interpretation in his writings</w:t>
      </w:r>
      <w:r w:rsidRPr="005249AC">
        <w:rPr>
          <w:rFonts w:ascii="Times New Roman" w:hAnsi="Times New Roman"/>
          <w:noProof/>
          <w:sz w:val="20"/>
          <w:szCs w:val="20"/>
        </w:rPr>
        <w:footnoteReference w:id="26"/>
      </w:r>
      <w:r w:rsidRPr="005249AC">
        <w:rPr>
          <w:rFonts w:ascii="Times New Roman" w:hAnsi="Times New Roman"/>
          <w:noProof/>
          <w:sz w:val="20"/>
          <w:szCs w:val="20"/>
        </w:rPr>
        <w:t>. Calvin pointed out some problems in Jerome's interpretation. First, Calvin did not agree with Jerome when</w:t>
      </w:r>
      <w:r w:rsidRPr="009B06A1">
        <w:rPr>
          <w:rFonts w:ascii="Times New Roman" w:hAnsi="Times New Roman"/>
          <w:noProof/>
          <w:color w:val="FF0000"/>
          <w:sz w:val="20"/>
          <w:szCs w:val="20"/>
        </w:rPr>
        <w:t xml:space="preserve"> his interpretation was not simple and did not show the intention of the author</w:t>
      </w:r>
      <w:r w:rsidRPr="005249AC">
        <w:rPr>
          <w:rFonts w:ascii="Times New Roman" w:hAnsi="Times New Roman"/>
          <w:noProof/>
          <w:sz w:val="20"/>
          <w:szCs w:val="20"/>
        </w:rPr>
        <w:t>. In his exposition of Gal. 2:6 "whatever they were", Calvin said,</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Chrysostom and Jerome take a harsher view of the words</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as an indirect threatening of the most distinguished </w:t>
      </w:r>
      <w:r w:rsidRPr="005249AC">
        <w:rPr>
          <w:rFonts w:ascii="Times New Roman" w:hAnsi="Times New Roman"/>
          <w:noProof/>
          <w:sz w:val="20"/>
          <w:szCs w:val="20"/>
        </w:rPr>
        <w:tab/>
        <w:t xml:space="preserve">apostles. "Whatsoever they may be, if </w:t>
      </w:r>
      <w:r w:rsidRPr="005249AC">
        <w:rPr>
          <w:rFonts w:ascii="Times New Roman" w:hAnsi="Times New Roman"/>
          <w:noProof/>
          <w:sz w:val="20"/>
          <w:szCs w:val="20"/>
        </w:rPr>
        <w:lastRenderedPageBreak/>
        <w:t xml:space="preserve">they swerve from </w:t>
      </w:r>
      <w:r w:rsidRPr="005249AC">
        <w:rPr>
          <w:rFonts w:ascii="Times New Roman" w:hAnsi="Times New Roman"/>
          <w:noProof/>
          <w:sz w:val="20"/>
          <w:szCs w:val="20"/>
        </w:rPr>
        <w:tab/>
        <w:t>duty, they shall not escape the judgement of God: neither</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 xml:space="preserve">the dignity of their office, nor the estimation of men, </w:t>
      </w:r>
      <w:r w:rsidRPr="005249AC">
        <w:rPr>
          <w:rFonts w:ascii="Times New Roman" w:hAnsi="Times New Roman"/>
          <w:noProof/>
          <w:sz w:val="20"/>
          <w:szCs w:val="20"/>
        </w:rPr>
        <w:tab/>
        <w:t>shall protect them." But another interpretation appears</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to me more simple, and more agreeable to Paul's design</w:t>
      </w:r>
      <w:r w:rsidRPr="005249AC">
        <w:rPr>
          <w:rFonts w:ascii="Times New Roman" w:hAnsi="Times New Roman"/>
          <w:noProof/>
          <w:sz w:val="20"/>
          <w:szCs w:val="20"/>
        </w:rPr>
        <w:footnoteReference w:id="27"/>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Here Calvin criticized Jerome who did not show the </w:t>
      </w:r>
      <w:r w:rsidRPr="009B06A1">
        <w:rPr>
          <w:rFonts w:ascii="Times New Roman" w:hAnsi="Times New Roman"/>
          <w:noProof/>
          <w:color w:val="FF0000"/>
          <w:sz w:val="20"/>
          <w:szCs w:val="20"/>
        </w:rPr>
        <w:t>mind of the author and the simple sense of the text.</w:t>
      </w:r>
      <w:r w:rsidRPr="005249AC">
        <w:rPr>
          <w:rFonts w:ascii="Times New Roman" w:hAnsi="Times New Roman"/>
          <w:noProof/>
          <w:sz w:val="20"/>
          <w:szCs w:val="20"/>
        </w:rPr>
        <w:t xml:space="preserve"> Calvin suggested that his readers employ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revealing the intention of the author and the simple meaning of the text. Secondly, Calvin pointed out that Jerome's interpretation was </w:t>
      </w:r>
      <w:r w:rsidRPr="009B06A1">
        <w:rPr>
          <w:rFonts w:ascii="Times New Roman" w:hAnsi="Times New Roman"/>
          <w:noProof/>
          <w:color w:val="FF0000"/>
          <w:sz w:val="20"/>
          <w:szCs w:val="20"/>
        </w:rPr>
        <w:t>not sufficiently grounded on grammatical methods</w:t>
      </w:r>
      <w:r w:rsidRPr="005249AC">
        <w:rPr>
          <w:rFonts w:ascii="Times New Roman" w:hAnsi="Times New Roman"/>
          <w:noProof/>
          <w:sz w:val="20"/>
          <w:szCs w:val="20"/>
        </w:rPr>
        <w:t xml:space="preserve">. For example, on the Greek participle </w:t>
      </w:r>
      <w:r w:rsidRPr="005249AC">
        <w:rPr>
          <w:rFonts w:ascii="Times New Roman" w:hAnsi="Times New Roman"/>
          <w:i/>
          <w:iCs/>
          <w:noProof/>
          <w:sz w:val="20"/>
          <w:szCs w:val="20"/>
        </w:rPr>
        <w:t>kategnosmenos</w:t>
      </w:r>
      <w:r w:rsidRPr="005249AC">
        <w:rPr>
          <w:rFonts w:ascii="Times New Roman" w:hAnsi="Times New Roman"/>
          <w:noProof/>
          <w:sz w:val="20"/>
          <w:szCs w:val="20"/>
        </w:rPr>
        <w:t xml:space="preserve"> (worthy of blame) Calvin clearly explained:</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It was customary with the Greeks to give to their </w:t>
      </w:r>
      <w:r w:rsidRPr="005249AC">
        <w:rPr>
          <w:rFonts w:ascii="Times New Roman" w:hAnsi="Times New Roman"/>
          <w:noProof/>
          <w:sz w:val="20"/>
          <w:szCs w:val="20"/>
        </w:rPr>
        <w:tab/>
        <w:t xml:space="preserve">participles the signification of nouns, which, every </w:t>
      </w:r>
      <w:r w:rsidRPr="005249AC">
        <w:rPr>
          <w:rFonts w:ascii="Times New Roman" w:hAnsi="Times New Roman"/>
          <w:noProof/>
          <w:sz w:val="20"/>
          <w:szCs w:val="20"/>
        </w:rPr>
        <w:tab/>
        <w:t xml:space="preserve">person must see, is applicable to this passage. This will </w:t>
      </w:r>
      <w:r w:rsidRPr="005249AC">
        <w:rPr>
          <w:rFonts w:ascii="Times New Roman" w:hAnsi="Times New Roman"/>
          <w:noProof/>
          <w:sz w:val="20"/>
          <w:szCs w:val="20"/>
        </w:rPr>
        <w:tab/>
        <w:t xml:space="preserve">enable us to perceive the absurdity of the interpretation </w:t>
      </w:r>
      <w:r w:rsidRPr="005249AC">
        <w:rPr>
          <w:rFonts w:ascii="Times New Roman" w:hAnsi="Times New Roman"/>
          <w:noProof/>
          <w:sz w:val="20"/>
          <w:szCs w:val="20"/>
        </w:rPr>
        <w:tab/>
        <w:t xml:space="preserve">given by Jerome and Chrysostom, who represent the whole </w:t>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transaction as a feigned debate, which the apostles had </w:t>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previously arranged to take place in presence of the </w:t>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people. They are not even supported by the phrase, "I </w:t>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r w:rsidRPr="005249AC">
        <w:rPr>
          <w:rFonts w:ascii="Times New Roman" w:hAnsi="Times New Roman"/>
          <w:noProof/>
          <w:sz w:val="20"/>
          <w:szCs w:val="20"/>
        </w:rPr>
        <w:tab/>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withstood him </w:t>
      </w:r>
      <w:r w:rsidRPr="005249AC">
        <w:rPr>
          <w:rFonts w:ascii="Times New Roman" w:hAnsi="Times New Roman"/>
          <w:i/>
          <w:iCs/>
          <w:noProof/>
          <w:sz w:val="20"/>
          <w:szCs w:val="20"/>
        </w:rPr>
        <w:t>to the face," kata</w:t>
      </w:r>
      <w:r w:rsidRPr="005249AC">
        <w:rPr>
          <w:rFonts w:ascii="Times New Roman" w:hAnsi="Times New Roman"/>
          <w:noProof/>
          <w:sz w:val="20"/>
          <w:szCs w:val="20"/>
        </w:rPr>
        <w:t xml:space="preserve"> </w:t>
      </w:r>
      <w:r w:rsidRPr="005249AC">
        <w:rPr>
          <w:rFonts w:ascii="Times New Roman" w:hAnsi="Times New Roman"/>
          <w:i/>
          <w:iCs/>
          <w:noProof/>
          <w:sz w:val="20"/>
          <w:szCs w:val="20"/>
        </w:rPr>
        <w:t>prosopon</w:t>
      </w:r>
      <w:r w:rsidRPr="005249AC">
        <w:rPr>
          <w:rFonts w:ascii="Times New Roman" w:hAnsi="Times New Roman"/>
          <w:noProof/>
          <w:sz w:val="20"/>
          <w:szCs w:val="20"/>
        </w:rPr>
        <w:t>, which means</w:t>
      </w:r>
    </w:p>
    <w:p w:rsidR="00F84A76" w:rsidRPr="005249AC" w:rsidRDefault="00F84A76" w:rsidP="00F84A76">
      <w:pPr>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that "to the face," or "being present," Peter was</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chastised and struck dumb</w:t>
      </w:r>
      <w:r w:rsidRPr="005249AC">
        <w:rPr>
          <w:rFonts w:ascii="Times New Roman" w:hAnsi="Times New Roman"/>
          <w:noProof/>
          <w:sz w:val="20"/>
          <w:szCs w:val="20"/>
        </w:rPr>
        <w:footnoteReference w:id="28"/>
      </w:r>
      <w:r w:rsidRPr="005249AC">
        <w:rPr>
          <w:rFonts w:ascii="Times New Roman" w:hAnsi="Times New Roman"/>
          <w:noProof/>
          <w:sz w:val="20"/>
          <w:szCs w:val="20"/>
        </w:rPr>
        <w:t xml:space="preserve">. </w:t>
      </w:r>
      <w:r w:rsidRPr="005249AC">
        <w:rPr>
          <w:rFonts w:ascii="Times New Roman" w:hAnsi="Times New Roman"/>
          <w:noProof/>
          <w:sz w:val="20"/>
          <w:szCs w:val="20"/>
        </w:rPr>
        <w:tab/>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Thirdly, Calvin argued that Jerome's interpretation was, in many cases, not </w:t>
      </w:r>
      <w:r w:rsidRPr="009B06A1">
        <w:rPr>
          <w:rFonts w:ascii="Times New Roman" w:hAnsi="Times New Roman"/>
          <w:noProof/>
          <w:color w:val="FF0000"/>
          <w:sz w:val="20"/>
          <w:szCs w:val="20"/>
        </w:rPr>
        <w:t>agreeable to the context of a passage</w:t>
      </w:r>
      <w:r w:rsidRPr="005249AC">
        <w:rPr>
          <w:rFonts w:ascii="Times New Roman" w:hAnsi="Times New Roman"/>
          <w:noProof/>
          <w:sz w:val="20"/>
          <w:szCs w:val="20"/>
        </w:rPr>
        <w:footnoteReference w:id="29"/>
      </w:r>
      <w:r w:rsidRPr="005249AC">
        <w:rPr>
          <w:rFonts w:ascii="Times New Roman" w:hAnsi="Times New Roman"/>
          <w:noProof/>
          <w:sz w:val="20"/>
          <w:szCs w:val="20"/>
        </w:rPr>
        <w:t>. In the interpretation of Lamentations 5:13 "They took the young men to grind, and the children fell under the wood." Calvin stated;</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The Prophet now says, that </w:t>
      </w:r>
      <w:r w:rsidRPr="005249AC">
        <w:rPr>
          <w:rFonts w:ascii="Times New Roman" w:hAnsi="Times New Roman"/>
          <w:i/>
          <w:iCs/>
          <w:noProof/>
          <w:sz w:val="20"/>
          <w:szCs w:val="20"/>
        </w:rPr>
        <w:t xml:space="preserve">young men had been delivered </w:t>
      </w:r>
      <w:r w:rsidRPr="005249AC">
        <w:rPr>
          <w:rFonts w:ascii="Times New Roman" w:hAnsi="Times New Roman"/>
          <w:i/>
          <w:iCs/>
          <w:noProof/>
          <w:sz w:val="20"/>
          <w:szCs w:val="20"/>
        </w:rPr>
        <w:tab/>
        <w:t>to the mill</w:t>
      </w:r>
      <w:r w:rsidRPr="005249AC">
        <w:rPr>
          <w:rFonts w:ascii="Times New Roman" w:hAnsi="Times New Roman"/>
          <w:noProof/>
          <w:sz w:val="20"/>
          <w:szCs w:val="20"/>
        </w:rPr>
        <w:t xml:space="preserve">, or to the grinding-house; and we know that </w:t>
      </w:r>
      <w:r w:rsidRPr="005249AC">
        <w:rPr>
          <w:rFonts w:ascii="Times New Roman" w:hAnsi="Times New Roman"/>
          <w:noProof/>
          <w:sz w:val="20"/>
          <w:szCs w:val="20"/>
        </w:rPr>
        <w:tab/>
        <w:t>of all servile works this was the lowest; for as they</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 xml:space="preserve">used asses to grind, so also they used slaves. The </w:t>
      </w:r>
      <w:r w:rsidRPr="005249AC">
        <w:rPr>
          <w:rFonts w:ascii="Times New Roman" w:hAnsi="Times New Roman"/>
          <w:noProof/>
          <w:sz w:val="20"/>
          <w:szCs w:val="20"/>
        </w:rPr>
        <w:tab/>
        <w:t xml:space="preserve">meaning is, that the Jews were shamefully treated, and </w:t>
      </w:r>
      <w:r w:rsidRPr="005249AC">
        <w:rPr>
          <w:rFonts w:ascii="Times New Roman" w:hAnsi="Times New Roman"/>
          <w:noProof/>
          <w:sz w:val="20"/>
          <w:szCs w:val="20"/>
        </w:rPr>
        <w:tab/>
        <w:t xml:space="preserve">were reduced to the most abject condition. I know not how </w:t>
      </w:r>
      <w:r w:rsidRPr="005249AC">
        <w:rPr>
          <w:rFonts w:ascii="Times New Roman" w:hAnsi="Times New Roman"/>
          <w:noProof/>
          <w:sz w:val="20"/>
          <w:szCs w:val="20"/>
        </w:rPr>
        <w:tab/>
        <w:t xml:space="preserve">came Jerome to give this version, that they were basely </w:t>
      </w:r>
      <w:r w:rsidRPr="005249AC">
        <w:rPr>
          <w:rFonts w:ascii="Times New Roman" w:hAnsi="Times New Roman"/>
          <w:noProof/>
          <w:sz w:val="20"/>
          <w:szCs w:val="20"/>
        </w:rPr>
        <w:tab/>
        <w:t xml:space="preserve">used for lust; for </w:t>
      </w:r>
      <w:r w:rsidRPr="005249AC">
        <w:rPr>
          <w:rFonts w:ascii="Times New Roman" w:hAnsi="Times New Roman"/>
          <w:i/>
          <w:iCs/>
          <w:noProof/>
          <w:sz w:val="20"/>
          <w:szCs w:val="20"/>
        </w:rPr>
        <w:t>thechen</w:t>
      </w:r>
      <w:r w:rsidRPr="005249AC">
        <w:rPr>
          <w:rFonts w:ascii="Times New Roman" w:hAnsi="Times New Roman"/>
          <w:noProof/>
          <w:sz w:val="20"/>
          <w:szCs w:val="20"/>
        </w:rPr>
        <w:t xml:space="preserve">, means to grind or to tear. He </w:t>
      </w:r>
      <w:r w:rsidRPr="005249AC">
        <w:rPr>
          <w:rFonts w:ascii="Times New Roman" w:hAnsi="Times New Roman"/>
          <w:noProof/>
          <w:sz w:val="20"/>
          <w:szCs w:val="20"/>
        </w:rPr>
        <w:tab/>
        <w:t xml:space="preserve">thought that it means here something base, which could </w:t>
      </w:r>
      <w:r w:rsidRPr="005249AC">
        <w:rPr>
          <w:rFonts w:ascii="Times New Roman" w:hAnsi="Times New Roman"/>
          <w:noProof/>
          <w:sz w:val="20"/>
          <w:szCs w:val="20"/>
        </w:rPr>
        <w:tab/>
        <w:t xml:space="preserve">not be named, as though the enemies had shamefully abused </w:t>
      </w:r>
      <w:r w:rsidRPr="005249AC">
        <w:rPr>
          <w:rFonts w:ascii="Times New Roman" w:hAnsi="Times New Roman"/>
          <w:noProof/>
          <w:sz w:val="20"/>
          <w:szCs w:val="20"/>
        </w:rPr>
        <w:lastRenderedPageBreak/>
        <w:tab/>
        <w:t xml:space="preserve">the young men; we may gather from the second clause of </w:t>
      </w:r>
      <w:r w:rsidRPr="005249AC">
        <w:rPr>
          <w:rFonts w:ascii="Times New Roman" w:hAnsi="Times New Roman"/>
          <w:noProof/>
          <w:sz w:val="20"/>
          <w:szCs w:val="20"/>
        </w:rPr>
        <w:tab/>
        <w:t xml:space="preserve">the verse that such an idea does not accord with the </w:t>
      </w:r>
      <w:r w:rsidRPr="005249AC">
        <w:rPr>
          <w:rFonts w:ascii="Times New Roman" w:hAnsi="Times New Roman"/>
          <w:noProof/>
          <w:sz w:val="20"/>
          <w:szCs w:val="20"/>
        </w:rPr>
        <w:tab/>
        <w:t>passage</w:t>
      </w:r>
      <w:r w:rsidRPr="005249AC">
        <w:rPr>
          <w:rFonts w:ascii="Times New Roman" w:hAnsi="Times New Roman"/>
          <w:noProof/>
          <w:sz w:val="20"/>
          <w:szCs w:val="20"/>
        </w:rPr>
        <w:footnoteReference w:id="30"/>
      </w:r>
      <w:r w:rsidRPr="005249AC">
        <w:rPr>
          <w:rFonts w:ascii="Times New Roman" w:hAnsi="Times New Roman"/>
          <w:noProof/>
          <w:sz w:val="20"/>
          <w:szCs w:val="20"/>
        </w:rPr>
        <w:t>.</w:t>
      </w:r>
    </w:p>
    <w:p w:rsidR="00F84A76" w:rsidRPr="005249AC" w:rsidRDefault="00F84A76" w:rsidP="009B06A1">
      <w:pPr>
        <w:spacing w:line="480" w:lineRule="auto"/>
        <w:rPr>
          <w:rFonts w:ascii="Times New Roman" w:hAnsi="Times New Roman"/>
          <w:noProof/>
          <w:sz w:val="20"/>
          <w:szCs w:val="20"/>
        </w:rPr>
      </w:pPr>
      <w:r w:rsidRPr="005249AC">
        <w:rPr>
          <w:rFonts w:ascii="Times New Roman" w:hAnsi="Times New Roman"/>
          <w:noProof/>
          <w:sz w:val="20"/>
          <w:szCs w:val="20"/>
        </w:rPr>
        <w:t xml:space="preserve">Here Calvin stressed the suitability of the context, one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Fourthly, Calvin pointed out that Jerome's interpretation was often `forced and strained'. With reference to Jer. 2:31 Calvin wrote: "Hence Jerome says, that they were said to be your, and not my prophets; as though God thus denied that he had given them any commission. But this view is forced and strained.</w:t>
      </w:r>
      <w:r w:rsidRPr="005249AC">
        <w:rPr>
          <w:rFonts w:ascii="Times New Roman" w:hAnsi="Times New Roman"/>
          <w:noProof/>
          <w:sz w:val="20"/>
          <w:szCs w:val="20"/>
        </w:rPr>
        <w:footnoteReference w:id="31"/>
      </w:r>
      <w:r w:rsidRPr="005249AC">
        <w:rPr>
          <w:rFonts w:ascii="Times New Roman" w:hAnsi="Times New Roman"/>
          <w:noProof/>
          <w:sz w:val="20"/>
          <w:szCs w:val="20"/>
        </w:rPr>
        <w:t xml:space="preserve">" Criticizing Jerome's twisting the true meaning of the text, Calvin showed antiforce, one of the principles of </w:t>
      </w:r>
      <w:r w:rsidRPr="005249AC">
        <w:rPr>
          <w:rFonts w:ascii="Times New Roman" w:hAnsi="Times New Roman"/>
          <w:i/>
          <w:iCs/>
          <w:noProof/>
          <w:sz w:val="20"/>
          <w:szCs w:val="20"/>
        </w:rPr>
        <w:t>brevitas et facilitas</w:t>
      </w:r>
    </w:p>
    <w:p w:rsidR="00F84A76" w:rsidRPr="005249AC" w:rsidRDefault="00F84A76" w:rsidP="00F84A76">
      <w:pPr>
        <w:spacing w:line="480" w:lineRule="auto"/>
        <w:ind w:firstLine="2880"/>
        <w:rPr>
          <w:rFonts w:ascii="Times New Roman" w:hAnsi="Times New Roman"/>
          <w:noProof/>
          <w:sz w:val="20"/>
          <w:szCs w:val="20"/>
        </w:rPr>
      </w:pPr>
    </w:p>
    <w:p w:rsidR="00F84A76" w:rsidRDefault="00F84A76" w:rsidP="00F84A76">
      <w:pPr>
        <w:spacing w:line="480" w:lineRule="auto"/>
        <w:ind w:firstLine="2880"/>
        <w:rPr>
          <w:rFonts w:ascii="Times New Roman" w:hAnsi="Times New Roman"/>
          <w:noProof/>
          <w:sz w:val="20"/>
          <w:szCs w:val="20"/>
        </w:rPr>
      </w:pPr>
      <w:r w:rsidRPr="005249AC">
        <w:rPr>
          <w:rFonts w:ascii="Times New Roman" w:hAnsi="Times New Roman"/>
          <w:noProof/>
          <w:sz w:val="20"/>
          <w:szCs w:val="20"/>
        </w:rPr>
        <w:t>D. Augustine</w:t>
      </w:r>
    </w:p>
    <w:p w:rsidR="009B06A1" w:rsidRPr="005249AC" w:rsidRDefault="009B06A1" w:rsidP="00F84A76">
      <w:pPr>
        <w:spacing w:line="480" w:lineRule="auto"/>
        <w:ind w:firstLine="2880"/>
        <w:rPr>
          <w:rFonts w:ascii="Times New Roman" w:hAnsi="Times New Roman"/>
          <w:noProof/>
          <w:sz w:val="20"/>
          <w:szCs w:val="20"/>
        </w:rPr>
      </w:pP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color w:val="252525"/>
          <w:sz w:val="20"/>
          <w:szCs w:val="20"/>
          <w:shd w:val="clear" w:color="auto" w:fill="FFFFFF"/>
        </w:rPr>
        <w:t>Augustine was born in 354 in the</w:t>
      </w:r>
      <w:r w:rsidRPr="005249AC">
        <w:rPr>
          <w:rStyle w:val="apple-converted-space"/>
          <w:rFonts w:ascii="Times New Roman" w:hAnsi="Times New Roman"/>
          <w:color w:val="252525"/>
          <w:sz w:val="20"/>
          <w:szCs w:val="20"/>
          <w:shd w:val="clear" w:color="auto" w:fill="FFFFFF"/>
        </w:rPr>
        <w:t> </w:t>
      </w:r>
      <w:hyperlink r:id="rId83" w:tooltip="Municipium" w:history="1">
        <w:r w:rsidRPr="005249AC">
          <w:rPr>
            <w:rStyle w:val="a6"/>
            <w:rFonts w:ascii="Times New Roman" w:hAnsi="Times New Roman"/>
            <w:color w:val="0B0080"/>
            <w:sz w:val="20"/>
            <w:szCs w:val="20"/>
            <w:shd w:val="clear" w:color="auto" w:fill="FFFFFF"/>
          </w:rPr>
          <w:t>municipium</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of Thagaste (now</w:t>
      </w:r>
      <w:r w:rsidRPr="005249AC">
        <w:rPr>
          <w:rStyle w:val="apple-converted-space"/>
          <w:rFonts w:ascii="Times New Roman" w:hAnsi="Times New Roman"/>
          <w:color w:val="252525"/>
          <w:sz w:val="20"/>
          <w:szCs w:val="20"/>
          <w:shd w:val="clear" w:color="auto" w:fill="FFFFFF"/>
        </w:rPr>
        <w:t> </w:t>
      </w:r>
      <w:hyperlink r:id="rId84" w:tooltip="Souk Ahras" w:history="1">
        <w:r w:rsidRPr="005249AC">
          <w:rPr>
            <w:rStyle w:val="a6"/>
            <w:rFonts w:ascii="Times New Roman" w:hAnsi="Times New Roman"/>
            <w:color w:val="0B0080"/>
            <w:sz w:val="20"/>
            <w:szCs w:val="20"/>
            <w:shd w:val="clear" w:color="auto" w:fill="FFFFFF"/>
          </w:rPr>
          <w:t>Souk Ahras</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hyperlink r:id="rId85" w:tooltip="Algeria" w:history="1">
        <w:r w:rsidRPr="005249AC">
          <w:rPr>
            <w:rStyle w:val="a6"/>
            <w:rFonts w:ascii="Times New Roman" w:hAnsi="Times New Roman"/>
            <w:color w:val="0B0080"/>
            <w:sz w:val="20"/>
            <w:szCs w:val="20"/>
            <w:shd w:val="clear" w:color="auto" w:fill="FFFFFF"/>
          </w:rPr>
          <w:t>Algeria</w:t>
        </w:r>
      </w:hyperlink>
      <w:r w:rsidRPr="005249AC">
        <w:rPr>
          <w:rFonts w:ascii="Times New Roman" w:hAnsi="Times New Roman"/>
          <w:color w:val="252525"/>
          <w:sz w:val="20"/>
          <w:szCs w:val="20"/>
          <w:shd w:val="clear" w:color="auto" w:fill="FFFFFF"/>
        </w:rPr>
        <w:t>) in</w:t>
      </w:r>
      <w:r w:rsidRPr="005249AC">
        <w:rPr>
          <w:rStyle w:val="apple-converted-space"/>
          <w:rFonts w:ascii="Times New Roman" w:hAnsi="Times New Roman"/>
          <w:color w:val="252525"/>
          <w:sz w:val="20"/>
          <w:szCs w:val="20"/>
          <w:shd w:val="clear" w:color="auto" w:fill="FFFFFF"/>
        </w:rPr>
        <w:t> </w:t>
      </w:r>
      <w:hyperlink r:id="rId86" w:tooltip="Africa (Roman province)" w:history="1">
        <w:r w:rsidRPr="005249AC">
          <w:rPr>
            <w:rStyle w:val="a6"/>
            <w:rFonts w:ascii="Times New Roman" w:hAnsi="Times New Roman"/>
            <w:color w:val="0B0080"/>
            <w:sz w:val="20"/>
            <w:szCs w:val="20"/>
            <w:shd w:val="clear" w:color="auto" w:fill="FFFFFF"/>
          </w:rPr>
          <w:t>Roman Africa</w:t>
        </w:r>
      </w:hyperlink>
      <w:r w:rsidRPr="005249AC">
        <w:rPr>
          <w:rFonts w:ascii="Times New Roman" w:hAnsi="Times New Roman"/>
          <w:color w:val="252525"/>
          <w:sz w:val="20"/>
          <w:szCs w:val="20"/>
          <w:shd w:val="clear" w:color="auto" w:fill="FFFFFF"/>
        </w:rPr>
        <w:t>.</w:t>
      </w:r>
      <w:hyperlink r:id="rId87" w:anchor="cite_note-18" w:history="1">
        <w:r w:rsidRPr="005249AC">
          <w:rPr>
            <w:rStyle w:val="a6"/>
            <w:rFonts w:ascii="Times New Roman" w:hAnsi="Times New Roman"/>
            <w:color w:val="0B0080"/>
            <w:sz w:val="20"/>
            <w:szCs w:val="20"/>
            <w:shd w:val="clear" w:color="auto" w:fill="FFFFFF"/>
            <w:vertAlign w:val="superscript"/>
          </w:rPr>
          <w:t>[18]</w:t>
        </w:r>
      </w:hyperlink>
      <w:hyperlink r:id="rId88" w:anchor="cite_note-19" w:history="1">
        <w:r w:rsidRPr="005249AC">
          <w:rPr>
            <w:rStyle w:val="a6"/>
            <w:rFonts w:ascii="Times New Roman" w:hAnsi="Times New Roman"/>
            <w:color w:val="0B0080"/>
            <w:sz w:val="20"/>
            <w:szCs w:val="20"/>
            <w:shd w:val="clear" w:color="auto" w:fill="FFFFFF"/>
            <w:vertAlign w:val="superscript"/>
          </w:rPr>
          <w:t>[19]</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His mother,</w:t>
      </w:r>
      <w:r w:rsidRPr="005249AC">
        <w:rPr>
          <w:rStyle w:val="apple-converted-space"/>
          <w:rFonts w:ascii="Times New Roman" w:hAnsi="Times New Roman"/>
          <w:color w:val="252525"/>
          <w:sz w:val="20"/>
          <w:szCs w:val="20"/>
          <w:shd w:val="clear" w:color="auto" w:fill="FFFFFF"/>
        </w:rPr>
        <w:t> </w:t>
      </w:r>
      <w:hyperlink r:id="rId89" w:tooltip="Saint Monica" w:history="1">
        <w:r w:rsidRPr="005249AC">
          <w:rPr>
            <w:rStyle w:val="a6"/>
            <w:rFonts w:ascii="Times New Roman" w:hAnsi="Times New Roman"/>
            <w:color w:val="0B0080"/>
            <w:sz w:val="20"/>
            <w:szCs w:val="20"/>
            <w:shd w:val="clear" w:color="auto" w:fill="FFFFFF"/>
          </w:rPr>
          <w:t>Monica</w:t>
        </w:r>
      </w:hyperlink>
      <w:r w:rsidRPr="005249AC">
        <w:rPr>
          <w:rFonts w:ascii="Times New Roman" w:hAnsi="Times New Roman"/>
          <w:color w:val="252525"/>
          <w:sz w:val="20"/>
          <w:szCs w:val="20"/>
          <w:shd w:val="clear" w:color="auto" w:fill="FFFFFF"/>
        </w:rPr>
        <w:t>, was a devout Christian; his father Patricius was a Pagan who converted to Christianity on his deathbed.</w:t>
      </w:r>
      <w:hyperlink r:id="rId90" w:anchor="cite_note-20" w:history="1">
        <w:r w:rsidRPr="005249AC">
          <w:rPr>
            <w:rStyle w:val="a6"/>
            <w:rFonts w:ascii="Times New Roman" w:hAnsi="Times New Roman"/>
            <w:color w:val="0B0080"/>
            <w:sz w:val="20"/>
            <w:szCs w:val="20"/>
            <w:shd w:val="clear" w:color="auto" w:fill="FFFFFF"/>
            <w:vertAlign w:val="superscript"/>
          </w:rPr>
          <w:t>[20]</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Scholars believe that Augustine's ancestors included</w:t>
      </w:r>
      <w:r w:rsidRPr="005249AC">
        <w:rPr>
          <w:rStyle w:val="apple-converted-space"/>
          <w:rFonts w:ascii="Times New Roman" w:hAnsi="Times New Roman"/>
          <w:color w:val="252525"/>
          <w:sz w:val="20"/>
          <w:szCs w:val="20"/>
          <w:shd w:val="clear" w:color="auto" w:fill="FFFFFF"/>
        </w:rPr>
        <w:t> </w:t>
      </w:r>
      <w:hyperlink r:id="rId91" w:tooltip="Berber people" w:history="1">
        <w:r w:rsidRPr="005249AC">
          <w:rPr>
            <w:rStyle w:val="a6"/>
            <w:rFonts w:ascii="Times New Roman" w:hAnsi="Times New Roman"/>
            <w:color w:val="0B0080"/>
            <w:sz w:val="20"/>
            <w:szCs w:val="20"/>
            <w:shd w:val="clear" w:color="auto" w:fill="FFFFFF"/>
          </w:rPr>
          <w:t>Berbers</w:t>
        </w:r>
      </w:hyperlink>
      <w:r w:rsidRPr="005249AC">
        <w:rPr>
          <w:rFonts w:ascii="Times New Roman" w:hAnsi="Times New Roman"/>
          <w:color w:val="252525"/>
          <w:sz w:val="20"/>
          <w:szCs w:val="20"/>
          <w:shd w:val="clear" w:color="auto" w:fill="FFFFFF"/>
        </w:rPr>
        <w:t>,</w:t>
      </w:r>
      <w:r w:rsidRPr="005249AC">
        <w:rPr>
          <w:rStyle w:val="apple-converted-space"/>
          <w:rFonts w:ascii="Times New Roman" w:hAnsi="Times New Roman"/>
          <w:color w:val="252525"/>
          <w:sz w:val="20"/>
          <w:szCs w:val="20"/>
          <w:shd w:val="clear" w:color="auto" w:fill="FFFFFF"/>
        </w:rPr>
        <w:t> </w:t>
      </w:r>
      <w:hyperlink r:id="rId92" w:tooltip="Latins (Italic tribe)" w:history="1">
        <w:r w:rsidRPr="005249AC">
          <w:rPr>
            <w:rStyle w:val="a6"/>
            <w:rFonts w:ascii="Times New Roman" w:hAnsi="Times New Roman"/>
            <w:color w:val="0B0080"/>
            <w:sz w:val="20"/>
            <w:szCs w:val="20"/>
            <w:shd w:val="clear" w:color="auto" w:fill="FFFFFF"/>
          </w:rPr>
          <w:t>Latins</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and</w:t>
      </w:r>
      <w:r w:rsidRPr="005249AC">
        <w:rPr>
          <w:rStyle w:val="apple-converted-space"/>
          <w:rFonts w:ascii="Times New Roman" w:hAnsi="Times New Roman"/>
          <w:color w:val="252525"/>
          <w:sz w:val="20"/>
          <w:szCs w:val="20"/>
          <w:shd w:val="clear" w:color="auto" w:fill="FFFFFF"/>
        </w:rPr>
        <w:t> </w:t>
      </w:r>
      <w:hyperlink r:id="rId93" w:tooltip="Phoenicia" w:history="1">
        <w:r w:rsidRPr="005249AC">
          <w:rPr>
            <w:rStyle w:val="a6"/>
            <w:rFonts w:ascii="Times New Roman" w:hAnsi="Times New Roman"/>
            <w:color w:val="0B0080"/>
            <w:sz w:val="20"/>
            <w:szCs w:val="20"/>
            <w:shd w:val="clear" w:color="auto" w:fill="FFFFFF"/>
          </w:rPr>
          <w:t>Phoenicians</w:t>
        </w:r>
      </w:hyperlink>
      <w:r w:rsidRPr="005249AC">
        <w:rPr>
          <w:rFonts w:ascii="Times New Roman" w:hAnsi="Times New Roman"/>
          <w:color w:val="252525"/>
          <w:sz w:val="20"/>
          <w:szCs w:val="20"/>
          <w:shd w:val="clear" w:color="auto" w:fill="FFFFFF"/>
        </w:rPr>
        <w:t>.</w:t>
      </w:r>
      <w:hyperlink r:id="rId94" w:anchor="cite_note-KP-21" w:history="1">
        <w:r w:rsidRPr="005249AC">
          <w:rPr>
            <w:rStyle w:val="a6"/>
            <w:rFonts w:ascii="Times New Roman" w:hAnsi="Times New Roman"/>
            <w:color w:val="0B0080"/>
            <w:sz w:val="20"/>
            <w:szCs w:val="20"/>
            <w:shd w:val="clear" w:color="auto" w:fill="FFFFFF"/>
            <w:vertAlign w:val="superscript"/>
          </w:rPr>
          <w:t>[21]</w:t>
        </w:r>
      </w:hyperlink>
      <w:r w:rsidRPr="005249AC">
        <w:rPr>
          <w:rStyle w:val="apple-converted-space"/>
          <w:rFonts w:ascii="Times New Roman" w:hAnsi="Times New Roman"/>
          <w:color w:val="252525"/>
          <w:sz w:val="20"/>
          <w:szCs w:val="20"/>
          <w:shd w:val="clear" w:color="auto" w:fill="FFFFFF"/>
        </w:rPr>
        <w:t> </w:t>
      </w:r>
      <w:r w:rsidRPr="005249AC">
        <w:rPr>
          <w:rFonts w:ascii="Times New Roman" w:hAnsi="Times New Roman"/>
          <w:color w:val="252525"/>
          <w:sz w:val="20"/>
          <w:szCs w:val="20"/>
          <w:shd w:val="clear" w:color="auto" w:fill="FFFFFF"/>
        </w:rPr>
        <w:t>He considered himself to be</w:t>
      </w:r>
      <w:r w:rsidRPr="005249AC">
        <w:rPr>
          <w:rStyle w:val="apple-converted-space"/>
          <w:rFonts w:ascii="Times New Roman" w:hAnsi="Times New Roman"/>
          <w:color w:val="252525"/>
          <w:sz w:val="20"/>
          <w:szCs w:val="20"/>
          <w:shd w:val="clear" w:color="auto" w:fill="FFFFFF"/>
        </w:rPr>
        <w:t> </w:t>
      </w:r>
      <w:hyperlink r:id="rId95" w:tooltip="Africa" w:history="1">
        <w:r w:rsidRPr="005249AC">
          <w:rPr>
            <w:rStyle w:val="a6"/>
            <w:rFonts w:ascii="Times New Roman" w:hAnsi="Times New Roman"/>
            <w:color w:val="0B0080"/>
            <w:sz w:val="20"/>
            <w:szCs w:val="20"/>
            <w:shd w:val="clear" w:color="auto" w:fill="FFFFFF"/>
          </w:rPr>
          <w:t>African</w:t>
        </w:r>
      </w:hyperlink>
      <w:r w:rsidRPr="005249AC">
        <w:rPr>
          <w:rFonts w:ascii="Times New Roman" w:hAnsi="Times New Roman"/>
          <w:color w:val="252525"/>
          <w:sz w:val="20"/>
          <w:szCs w:val="20"/>
          <w:shd w:val="clear" w:color="auto" w:fill="FFFFFF"/>
        </w:rPr>
        <w:t>.</w:t>
      </w:r>
      <w:hyperlink r:id="rId96" w:anchor="cite_note-22" w:history="1">
        <w:r w:rsidRPr="005249AC">
          <w:rPr>
            <w:rStyle w:val="a6"/>
            <w:rFonts w:ascii="Times New Roman" w:hAnsi="Times New Roman"/>
            <w:color w:val="0B0080"/>
            <w:sz w:val="20"/>
            <w:szCs w:val="20"/>
            <w:shd w:val="clear" w:color="auto" w:fill="FFFFFF"/>
            <w:vertAlign w:val="superscript"/>
          </w:rPr>
          <w:t>[22]</w:t>
        </w:r>
      </w:hyperlink>
    </w:p>
    <w:p w:rsidR="00F84A76" w:rsidRPr="005249AC" w:rsidRDefault="00F84A76" w:rsidP="00F84A76">
      <w:pPr>
        <w:pStyle w:val="a7"/>
        <w:shd w:val="clear" w:color="auto" w:fill="FFFFFF"/>
        <w:spacing w:before="120" w:beforeAutospacing="0" w:after="120" w:afterAutospacing="0" w:line="281"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According to his contemporary,</w:t>
      </w:r>
      <w:r w:rsidRPr="005249AC">
        <w:rPr>
          <w:rStyle w:val="apple-converted-space"/>
          <w:rFonts w:ascii="Times New Roman" w:hAnsi="Times New Roman" w:cs="Times New Roman"/>
          <w:color w:val="252525"/>
          <w:sz w:val="20"/>
          <w:szCs w:val="20"/>
        </w:rPr>
        <w:t> </w:t>
      </w:r>
      <w:hyperlink r:id="rId97" w:tooltip="Jerome" w:history="1">
        <w:r w:rsidRPr="005249AC">
          <w:rPr>
            <w:rStyle w:val="a6"/>
            <w:rFonts w:ascii="Times New Roman" w:hAnsi="Times New Roman"/>
            <w:color w:val="0B0080"/>
            <w:sz w:val="20"/>
            <w:szCs w:val="20"/>
          </w:rPr>
          <w:t>Jerome</w:t>
        </w:r>
      </w:hyperlink>
      <w:r w:rsidRPr="005249AC">
        <w:rPr>
          <w:rFonts w:ascii="Times New Roman" w:hAnsi="Times New Roman" w:cs="Times New Roman"/>
          <w:color w:val="252525"/>
          <w:sz w:val="20"/>
          <w:szCs w:val="20"/>
        </w:rPr>
        <w:t>, Augustine "established anew the ancient Faith."</w:t>
      </w:r>
      <w:hyperlink r:id="rId98" w:anchor="cite_note-7" w:history="1">
        <w:r w:rsidRPr="005249AC">
          <w:rPr>
            <w:rStyle w:val="a6"/>
            <w:rFonts w:ascii="Times New Roman" w:hAnsi="Times New Roman"/>
            <w:color w:val="0B0080"/>
            <w:sz w:val="20"/>
            <w:szCs w:val="20"/>
            <w:vertAlign w:val="superscript"/>
          </w:rPr>
          <w:t>[7]</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In his early years, he was heavily influenced by</w:t>
      </w:r>
      <w:r w:rsidRPr="005249AC">
        <w:rPr>
          <w:rStyle w:val="apple-converted-space"/>
          <w:rFonts w:ascii="Times New Roman" w:hAnsi="Times New Roman" w:cs="Times New Roman"/>
          <w:color w:val="252525"/>
          <w:sz w:val="20"/>
          <w:szCs w:val="20"/>
        </w:rPr>
        <w:t> </w:t>
      </w:r>
      <w:hyperlink r:id="rId99" w:tooltip="Manichaeism" w:history="1">
        <w:r w:rsidRPr="005249AC">
          <w:rPr>
            <w:rStyle w:val="a6"/>
            <w:rFonts w:ascii="Times New Roman" w:hAnsi="Times New Roman"/>
            <w:color w:val="0B0080"/>
            <w:sz w:val="20"/>
            <w:szCs w:val="20"/>
          </w:rPr>
          <w:t>Manichaeism</w:t>
        </w:r>
      </w:hyperlink>
      <w:r w:rsidRPr="005249AC">
        <w:rPr>
          <w:rStyle w:val="apple-converted-space"/>
          <w:rFonts w:ascii="Times New Roman" w:hAnsi="Times New Roman" w:cs="Times New Roman"/>
          <w:color w:val="252525"/>
          <w:sz w:val="20"/>
          <w:szCs w:val="20"/>
        </w:rPr>
        <w:t> </w:t>
      </w:r>
      <w:r w:rsidR="00445036">
        <w:rPr>
          <w:rStyle w:val="a3"/>
          <w:rFonts w:ascii="Times New Roman" w:hAnsi="Times New Roman" w:cs="Times New Roman"/>
          <w:color w:val="252525"/>
          <w:sz w:val="20"/>
          <w:szCs w:val="20"/>
        </w:rPr>
        <w:footnoteReference w:id="32"/>
      </w:r>
      <w:r w:rsidRPr="005249AC">
        <w:rPr>
          <w:rFonts w:ascii="Times New Roman" w:hAnsi="Times New Roman" w:cs="Times New Roman"/>
          <w:color w:val="252525"/>
          <w:sz w:val="20"/>
          <w:szCs w:val="20"/>
        </w:rPr>
        <w:t>and afterward by the</w:t>
      </w:r>
      <w:r w:rsidRPr="005249AC">
        <w:rPr>
          <w:rStyle w:val="apple-converted-space"/>
          <w:rFonts w:ascii="Times New Roman" w:hAnsi="Times New Roman" w:cs="Times New Roman"/>
          <w:color w:val="252525"/>
          <w:sz w:val="20"/>
          <w:szCs w:val="20"/>
        </w:rPr>
        <w:t> </w:t>
      </w:r>
      <w:hyperlink r:id="rId100" w:tooltip="Neo-Platonism" w:history="1">
        <w:r w:rsidRPr="005249AC">
          <w:rPr>
            <w:rStyle w:val="a6"/>
            <w:rFonts w:ascii="Times New Roman" w:hAnsi="Times New Roman"/>
            <w:color w:val="0B0080"/>
            <w:sz w:val="20"/>
            <w:szCs w:val="20"/>
          </w:rPr>
          <w:t>neo-Platonism</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w:t>
      </w:r>
      <w:r w:rsidRPr="005249AC">
        <w:rPr>
          <w:rStyle w:val="apple-converted-space"/>
          <w:rFonts w:ascii="Times New Roman" w:hAnsi="Times New Roman" w:cs="Times New Roman"/>
          <w:color w:val="252525"/>
          <w:sz w:val="20"/>
          <w:szCs w:val="20"/>
        </w:rPr>
        <w:t> </w:t>
      </w:r>
      <w:hyperlink r:id="rId101" w:tooltip="Plotinus" w:history="1">
        <w:r w:rsidRPr="005249AC">
          <w:rPr>
            <w:rStyle w:val="a6"/>
            <w:rFonts w:ascii="Times New Roman" w:hAnsi="Times New Roman"/>
            <w:color w:val="0B0080"/>
            <w:sz w:val="20"/>
            <w:szCs w:val="20"/>
          </w:rPr>
          <w:t>Plotinus</w:t>
        </w:r>
      </w:hyperlink>
      <w:r w:rsidRPr="005249AC">
        <w:rPr>
          <w:rFonts w:ascii="Times New Roman" w:hAnsi="Times New Roman" w:cs="Times New Roman"/>
          <w:color w:val="252525"/>
          <w:sz w:val="20"/>
          <w:szCs w:val="20"/>
        </w:rPr>
        <w:t>. After his baptism and conversion to Christianity in 387, Augustine developed his own approach to philosophy and theology, accommodating a variety of methods and perspectives.</w:t>
      </w:r>
      <w:hyperlink r:id="rId102" w:anchor="cite_note-8" w:history="1">
        <w:r w:rsidRPr="005249AC">
          <w:rPr>
            <w:rStyle w:val="a6"/>
            <w:rFonts w:ascii="Times New Roman" w:hAnsi="Times New Roman"/>
            <w:color w:val="0B0080"/>
            <w:sz w:val="20"/>
            <w:szCs w:val="20"/>
            <w:vertAlign w:val="superscript"/>
          </w:rPr>
          <w:t>[8]</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Believing that the</w:t>
      </w:r>
      <w:r w:rsidRPr="005249AC">
        <w:rPr>
          <w:rStyle w:val="apple-converted-space"/>
          <w:rFonts w:ascii="Times New Roman" w:hAnsi="Times New Roman" w:cs="Times New Roman"/>
          <w:color w:val="252525"/>
          <w:sz w:val="20"/>
          <w:szCs w:val="20"/>
        </w:rPr>
        <w:t> </w:t>
      </w:r>
      <w:hyperlink r:id="rId103" w:tooltip="Grace in Christianity" w:history="1">
        <w:r w:rsidRPr="00AF780F">
          <w:rPr>
            <w:rStyle w:val="a6"/>
            <w:rFonts w:ascii="Times New Roman" w:hAnsi="Times New Roman"/>
            <w:color w:val="FF0000"/>
            <w:sz w:val="20"/>
            <w:szCs w:val="20"/>
          </w:rPr>
          <w:t>grace of Christ</w:t>
        </w:r>
      </w:hyperlink>
      <w:r w:rsidRPr="00AF780F">
        <w:rPr>
          <w:rStyle w:val="apple-converted-space"/>
          <w:rFonts w:ascii="Times New Roman" w:hAnsi="Times New Roman" w:cs="Times New Roman"/>
          <w:color w:val="FF0000"/>
          <w:sz w:val="20"/>
          <w:szCs w:val="20"/>
        </w:rPr>
        <w:t> </w:t>
      </w:r>
      <w:r w:rsidRPr="00AF780F">
        <w:rPr>
          <w:rFonts w:ascii="Times New Roman" w:hAnsi="Times New Roman" w:cs="Times New Roman"/>
          <w:color w:val="FF0000"/>
          <w:sz w:val="20"/>
          <w:szCs w:val="20"/>
        </w:rPr>
        <w:t>was indispensable to human freedom, he helped formulate the doctrine of</w:t>
      </w:r>
      <w:r w:rsidRPr="00AF780F">
        <w:rPr>
          <w:rStyle w:val="apple-converted-space"/>
          <w:rFonts w:ascii="Times New Roman" w:hAnsi="Times New Roman" w:cs="Times New Roman"/>
          <w:color w:val="FF0000"/>
          <w:sz w:val="20"/>
          <w:szCs w:val="20"/>
        </w:rPr>
        <w:t> </w:t>
      </w:r>
      <w:hyperlink r:id="rId104" w:tooltip="Original sin" w:history="1">
        <w:r w:rsidRPr="00AF780F">
          <w:rPr>
            <w:rStyle w:val="a6"/>
            <w:rFonts w:ascii="Times New Roman" w:hAnsi="Times New Roman"/>
            <w:color w:val="FF0000"/>
            <w:sz w:val="20"/>
            <w:szCs w:val="20"/>
          </w:rPr>
          <w:t>original sin</w:t>
        </w:r>
      </w:hyperlink>
      <w:r w:rsidRPr="00AF780F">
        <w:rPr>
          <w:rStyle w:val="apple-converted-space"/>
          <w:rFonts w:ascii="Times New Roman" w:hAnsi="Times New Roman" w:cs="Times New Roman"/>
          <w:color w:val="FF0000"/>
          <w:sz w:val="20"/>
          <w:szCs w:val="20"/>
        </w:rPr>
        <w:t> </w:t>
      </w:r>
      <w:r w:rsidRPr="00AF780F">
        <w:rPr>
          <w:rFonts w:ascii="Times New Roman" w:hAnsi="Times New Roman" w:cs="Times New Roman"/>
          <w:color w:val="FF0000"/>
          <w:sz w:val="20"/>
          <w:szCs w:val="20"/>
        </w:rPr>
        <w:t xml:space="preserve">and </w:t>
      </w:r>
      <w:r w:rsidRPr="005249AC">
        <w:rPr>
          <w:rFonts w:ascii="Times New Roman" w:hAnsi="Times New Roman" w:cs="Times New Roman"/>
          <w:color w:val="252525"/>
          <w:sz w:val="20"/>
          <w:szCs w:val="20"/>
        </w:rPr>
        <w:t>made seminal contributions to the development of</w:t>
      </w:r>
      <w:r w:rsidRPr="005249AC">
        <w:rPr>
          <w:rStyle w:val="apple-converted-space"/>
          <w:rFonts w:ascii="Times New Roman" w:hAnsi="Times New Roman" w:cs="Times New Roman"/>
          <w:color w:val="252525"/>
          <w:sz w:val="20"/>
          <w:szCs w:val="20"/>
        </w:rPr>
        <w:t> </w:t>
      </w:r>
      <w:hyperlink r:id="rId105" w:tooltip="Just war theory" w:history="1">
        <w:r w:rsidRPr="005249AC">
          <w:rPr>
            <w:rStyle w:val="a6"/>
            <w:rFonts w:ascii="Times New Roman" w:hAnsi="Times New Roman"/>
            <w:color w:val="0B0080"/>
            <w:sz w:val="20"/>
            <w:szCs w:val="20"/>
          </w:rPr>
          <w:t>just war theory</w:t>
        </w:r>
      </w:hyperlink>
      <w:r w:rsidRPr="005249AC">
        <w:rPr>
          <w:rFonts w:ascii="Times New Roman" w:hAnsi="Times New Roman" w:cs="Times New Roman"/>
          <w:color w:val="252525"/>
          <w:sz w:val="20"/>
          <w:szCs w:val="20"/>
        </w:rPr>
        <w:t>.</w:t>
      </w:r>
    </w:p>
    <w:p w:rsidR="00F84A76" w:rsidRPr="005249AC" w:rsidRDefault="00F84A76" w:rsidP="00F84A76">
      <w:pPr>
        <w:pStyle w:val="a7"/>
        <w:shd w:val="clear" w:color="auto" w:fill="FFFFFF"/>
        <w:spacing w:before="120" w:beforeAutospacing="0" w:after="120" w:afterAutospacing="0" w:line="281"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lastRenderedPageBreak/>
        <w:t>When the</w:t>
      </w:r>
      <w:r w:rsidRPr="005249AC">
        <w:rPr>
          <w:rStyle w:val="apple-converted-space"/>
          <w:rFonts w:ascii="Times New Roman" w:hAnsi="Times New Roman" w:cs="Times New Roman"/>
          <w:color w:val="252525"/>
          <w:sz w:val="20"/>
          <w:szCs w:val="20"/>
        </w:rPr>
        <w:t> </w:t>
      </w:r>
      <w:hyperlink r:id="rId106" w:tooltip="Western Roman Empire" w:history="1">
        <w:r w:rsidRPr="005249AC">
          <w:rPr>
            <w:rStyle w:val="a6"/>
            <w:rFonts w:ascii="Times New Roman" w:hAnsi="Times New Roman"/>
            <w:color w:val="0B0080"/>
            <w:sz w:val="20"/>
            <w:szCs w:val="20"/>
          </w:rPr>
          <w:t>Western Roman Empire</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began to disintegrate, Augustine developed the concept of the</w:t>
      </w:r>
      <w:r w:rsidRPr="005249AC">
        <w:rPr>
          <w:rStyle w:val="apple-converted-space"/>
          <w:rFonts w:ascii="Times New Roman" w:hAnsi="Times New Roman" w:cs="Times New Roman"/>
          <w:color w:val="252525"/>
          <w:sz w:val="20"/>
          <w:szCs w:val="20"/>
        </w:rPr>
        <w:t> </w:t>
      </w:r>
      <w:hyperlink r:id="rId107" w:tooltip="East–West Schism" w:history="1">
        <w:r w:rsidRPr="005249AC">
          <w:rPr>
            <w:rStyle w:val="a6"/>
            <w:rFonts w:ascii="Times New Roman" w:hAnsi="Times New Roman"/>
            <w:color w:val="0B0080"/>
            <w:sz w:val="20"/>
            <w:szCs w:val="20"/>
          </w:rPr>
          <w:t>pre-Schism</w:t>
        </w:r>
      </w:hyperlink>
      <w:r w:rsidRPr="005249AC">
        <w:rPr>
          <w:rStyle w:val="apple-converted-space"/>
          <w:rFonts w:ascii="Times New Roman" w:hAnsi="Times New Roman" w:cs="Times New Roman"/>
          <w:color w:val="252525"/>
          <w:sz w:val="20"/>
          <w:szCs w:val="20"/>
        </w:rPr>
        <w:t> </w:t>
      </w:r>
      <w:hyperlink r:id="rId108" w:tooltip="Catholicism" w:history="1">
        <w:r w:rsidRPr="005249AC">
          <w:rPr>
            <w:rStyle w:val="a6"/>
            <w:rFonts w:ascii="Times New Roman" w:hAnsi="Times New Roman"/>
            <w:color w:val="0B0080"/>
            <w:sz w:val="20"/>
            <w:szCs w:val="20"/>
          </w:rPr>
          <w:t>Catholic Church</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as a spiritual</w:t>
      </w:r>
      <w:r w:rsidRPr="005249AC">
        <w:rPr>
          <w:rStyle w:val="apple-converted-space"/>
          <w:rFonts w:ascii="Times New Roman" w:hAnsi="Times New Roman" w:cs="Times New Roman"/>
          <w:color w:val="252525"/>
          <w:sz w:val="20"/>
          <w:szCs w:val="20"/>
        </w:rPr>
        <w:t> </w:t>
      </w:r>
      <w:hyperlink r:id="rId109" w:anchor="Christianity" w:tooltip="New Jerusalem" w:history="1">
        <w:r w:rsidRPr="005249AC">
          <w:rPr>
            <w:rStyle w:val="a6"/>
            <w:rFonts w:ascii="Times New Roman" w:hAnsi="Times New Roman"/>
            <w:color w:val="0B0080"/>
            <w:sz w:val="20"/>
            <w:szCs w:val="20"/>
          </w:rPr>
          <w:t>City of God</w:t>
        </w:r>
      </w:hyperlink>
      <w:r w:rsidRPr="005249AC">
        <w:rPr>
          <w:rFonts w:ascii="Times New Roman" w:hAnsi="Times New Roman" w:cs="Times New Roman"/>
          <w:color w:val="252525"/>
          <w:sz w:val="20"/>
          <w:szCs w:val="20"/>
        </w:rPr>
        <w:t>, distinct from the material Earthly City.</w:t>
      </w:r>
      <w:hyperlink r:id="rId110" w:anchor="cite_note-CC-9" w:history="1">
        <w:r w:rsidRPr="005249AC">
          <w:rPr>
            <w:rStyle w:val="a6"/>
            <w:rFonts w:ascii="Times New Roman" w:hAnsi="Times New Roman"/>
            <w:color w:val="0B0080"/>
            <w:sz w:val="20"/>
            <w:szCs w:val="20"/>
            <w:vertAlign w:val="superscript"/>
          </w:rPr>
          <w:t>[9]</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His thoughts profoundly influenced the medieval worldview. The segment of the Church that adhered to the concept of the</w:t>
      </w:r>
      <w:r w:rsidRPr="005249AC">
        <w:rPr>
          <w:rStyle w:val="apple-converted-space"/>
          <w:rFonts w:ascii="Times New Roman" w:hAnsi="Times New Roman" w:cs="Times New Roman"/>
          <w:color w:val="252525"/>
          <w:sz w:val="20"/>
          <w:szCs w:val="20"/>
        </w:rPr>
        <w:t> </w:t>
      </w:r>
      <w:hyperlink r:id="rId111" w:tooltip="Trinity" w:history="1">
        <w:r w:rsidRPr="005249AC">
          <w:rPr>
            <w:rStyle w:val="a6"/>
            <w:rFonts w:ascii="Times New Roman" w:hAnsi="Times New Roman"/>
            <w:color w:val="0B0080"/>
            <w:sz w:val="20"/>
            <w:szCs w:val="20"/>
          </w:rPr>
          <w:t>Trinity</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as defined by the</w:t>
      </w:r>
      <w:r w:rsidRPr="005249AC">
        <w:rPr>
          <w:rStyle w:val="apple-converted-space"/>
          <w:rFonts w:ascii="Times New Roman" w:hAnsi="Times New Roman" w:cs="Times New Roman"/>
          <w:color w:val="252525"/>
          <w:sz w:val="20"/>
          <w:szCs w:val="20"/>
        </w:rPr>
        <w:t> </w:t>
      </w:r>
      <w:hyperlink r:id="rId112" w:tooltip="First Council of Nicaea" w:history="1">
        <w:r w:rsidRPr="005249AC">
          <w:rPr>
            <w:rStyle w:val="a6"/>
            <w:rFonts w:ascii="Times New Roman" w:hAnsi="Times New Roman"/>
            <w:color w:val="0B0080"/>
            <w:sz w:val="20"/>
            <w:szCs w:val="20"/>
          </w:rPr>
          <w:t>Council of Nicaea</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 the</w:t>
      </w:r>
      <w:r w:rsidRPr="005249AC">
        <w:rPr>
          <w:rStyle w:val="apple-converted-space"/>
          <w:rFonts w:ascii="Times New Roman" w:hAnsi="Times New Roman" w:cs="Times New Roman"/>
          <w:color w:val="252525"/>
          <w:sz w:val="20"/>
          <w:szCs w:val="20"/>
        </w:rPr>
        <w:t> </w:t>
      </w:r>
      <w:hyperlink r:id="rId113" w:tooltip="First Council of Constantinople" w:history="1">
        <w:r w:rsidRPr="005249AC">
          <w:rPr>
            <w:rStyle w:val="a6"/>
            <w:rFonts w:ascii="Times New Roman" w:hAnsi="Times New Roman"/>
            <w:color w:val="0B0080"/>
            <w:sz w:val="20"/>
            <w:szCs w:val="20"/>
          </w:rPr>
          <w:t>Council of Constantinople</w:t>
        </w:r>
      </w:hyperlink>
      <w:hyperlink r:id="rId114" w:anchor="cite_note-10" w:history="1">
        <w:r w:rsidRPr="005249AC">
          <w:rPr>
            <w:rStyle w:val="a6"/>
            <w:rFonts w:ascii="Times New Roman" w:hAnsi="Times New Roman"/>
            <w:color w:val="0B0080"/>
            <w:sz w:val="20"/>
            <w:szCs w:val="20"/>
            <w:vertAlign w:val="superscript"/>
          </w:rPr>
          <w:t>[10]</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closely identified with Augustine's</w:t>
      </w:r>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i/>
          <w:iCs/>
          <w:color w:val="252525"/>
          <w:sz w:val="20"/>
          <w:szCs w:val="20"/>
        </w:rPr>
        <w:t>City of God.</w:t>
      </w:r>
    </w:p>
    <w:p w:rsidR="00AF780F" w:rsidRDefault="00AF780F" w:rsidP="00F84A76">
      <w:pPr>
        <w:pStyle w:val="a7"/>
        <w:shd w:val="clear" w:color="auto" w:fill="FFFFFF"/>
        <w:spacing w:before="120" w:beforeAutospacing="0" w:after="120" w:afterAutospacing="0" w:line="281" w:lineRule="atLeast"/>
        <w:rPr>
          <w:rFonts w:ascii="Times New Roman" w:hAnsi="Times New Roman" w:cs="Times New Roman"/>
          <w:color w:val="252525"/>
          <w:sz w:val="20"/>
          <w:szCs w:val="20"/>
        </w:rPr>
      </w:pPr>
    </w:p>
    <w:p w:rsidR="00F84A76" w:rsidRPr="005249AC" w:rsidRDefault="00F84A76" w:rsidP="00F84A76">
      <w:pPr>
        <w:pStyle w:val="a7"/>
        <w:shd w:val="clear" w:color="auto" w:fill="FFFFFF"/>
        <w:spacing w:before="120" w:beforeAutospacing="0" w:after="120" w:afterAutospacing="0" w:line="281" w:lineRule="atLeast"/>
        <w:rPr>
          <w:rFonts w:ascii="Times New Roman" w:hAnsi="Times New Roman" w:cs="Times New Roman"/>
          <w:color w:val="252525"/>
          <w:sz w:val="20"/>
          <w:szCs w:val="20"/>
        </w:rPr>
      </w:pPr>
      <w:r w:rsidRPr="005249AC">
        <w:rPr>
          <w:rFonts w:ascii="Times New Roman" w:hAnsi="Times New Roman" w:cs="Times New Roman"/>
          <w:color w:val="252525"/>
          <w:sz w:val="20"/>
          <w:szCs w:val="20"/>
        </w:rPr>
        <w:t>In the Catholic Church and the</w:t>
      </w:r>
      <w:r w:rsidRPr="005249AC">
        <w:rPr>
          <w:rStyle w:val="apple-converted-space"/>
          <w:rFonts w:ascii="Times New Roman" w:hAnsi="Times New Roman" w:cs="Times New Roman"/>
          <w:color w:val="252525"/>
          <w:sz w:val="20"/>
          <w:szCs w:val="20"/>
        </w:rPr>
        <w:t> </w:t>
      </w:r>
      <w:hyperlink r:id="rId115" w:tooltip="Anglican Communion" w:history="1">
        <w:r w:rsidRPr="005249AC">
          <w:rPr>
            <w:rStyle w:val="a6"/>
            <w:rFonts w:ascii="Times New Roman" w:hAnsi="Times New Roman"/>
            <w:color w:val="0B0080"/>
            <w:sz w:val="20"/>
            <w:szCs w:val="20"/>
          </w:rPr>
          <w:t>Anglican Communion</w:t>
        </w:r>
      </w:hyperlink>
      <w:r w:rsidRPr="005249AC">
        <w:rPr>
          <w:rFonts w:ascii="Times New Roman" w:hAnsi="Times New Roman" w:cs="Times New Roman"/>
          <w:color w:val="252525"/>
          <w:sz w:val="20"/>
          <w:szCs w:val="20"/>
        </w:rPr>
        <w:t>, he is a saint, a preeminent</w:t>
      </w:r>
      <w:r w:rsidRPr="005249AC">
        <w:rPr>
          <w:rStyle w:val="apple-converted-space"/>
          <w:rFonts w:ascii="Times New Roman" w:hAnsi="Times New Roman" w:cs="Times New Roman"/>
          <w:color w:val="252525"/>
          <w:sz w:val="20"/>
          <w:szCs w:val="20"/>
        </w:rPr>
        <w:t> </w:t>
      </w:r>
      <w:hyperlink r:id="rId116" w:tooltip="Doctor of the Church" w:history="1">
        <w:r w:rsidRPr="005249AC">
          <w:rPr>
            <w:rStyle w:val="a6"/>
            <w:rFonts w:ascii="Times New Roman" w:hAnsi="Times New Roman"/>
            <w:color w:val="0B0080"/>
            <w:sz w:val="20"/>
            <w:szCs w:val="20"/>
          </w:rPr>
          <w:t>Doctor of the Church</w:t>
        </w:r>
      </w:hyperlink>
      <w:r w:rsidRPr="005249AC">
        <w:rPr>
          <w:rFonts w:ascii="Times New Roman" w:hAnsi="Times New Roman" w:cs="Times New Roman"/>
          <w:color w:val="252525"/>
          <w:sz w:val="20"/>
          <w:szCs w:val="20"/>
        </w:rPr>
        <w:t>, and the patron of the</w:t>
      </w:r>
      <w:r w:rsidRPr="005249AC">
        <w:rPr>
          <w:rStyle w:val="apple-converted-space"/>
          <w:rFonts w:ascii="Times New Roman" w:hAnsi="Times New Roman" w:cs="Times New Roman"/>
          <w:color w:val="252525"/>
          <w:sz w:val="20"/>
          <w:szCs w:val="20"/>
        </w:rPr>
        <w:t> </w:t>
      </w:r>
      <w:hyperlink r:id="rId117" w:tooltip="Augustinians" w:history="1">
        <w:r w:rsidRPr="005249AC">
          <w:rPr>
            <w:rStyle w:val="a6"/>
            <w:rFonts w:ascii="Times New Roman" w:hAnsi="Times New Roman"/>
            <w:color w:val="0B0080"/>
            <w:sz w:val="20"/>
            <w:szCs w:val="20"/>
          </w:rPr>
          <w:t>Augustinians</w:t>
        </w:r>
      </w:hyperlink>
      <w:r w:rsidRPr="005249AC">
        <w:rPr>
          <w:rFonts w:ascii="Times New Roman" w:hAnsi="Times New Roman" w:cs="Times New Roman"/>
          <w:color w:val="252525"/>
          <w:sz w:val="20"/>
          <w:szCs w:val="20"/>
        </w:rPr>
        <w:t>. His memorial is celebrated on 28 August, the day of his death. He is the</w:t>
      </w:r>
      <w:r w:rsidRPr="005249AC">
        <w:rPr>
          <w:rStyle w:val="apple-converted-space"/>
          <w:rFonts w:ascii="Times New Roman" w:hAnsi="Times New Roman" w:cs="Times New Roman"/>
          <w:color w:val="252525"/>
          <w:sz w:val="20"/>
          <w:szCs w:val="20"/>
        </w:rPr>
        <w:t> </w:t>
      </w:r>
      <w:hyperlink r:id="rId118" w:tooltip="Patron saint" w:history="1">
        <w:r w:rsidRPr="005249AC">
          <w:rPr>
            <w:rStyle w:val="a6"/>
            <w:rFonts w:ascii="Times New Roman" w:hAnsi="Times New Roman"/>
            <w:color w:val="0B0080"/>
            <w:sz w:val="20"/>
            <w:szCs w:val="20"/>
          </w:rPr>
          <w:t>patron saint</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of brewers, printers, theologians, the alleviation of sore eyes, and a number of cities and dioceses.</w:t>
      </w:r>
      <w:hyperlink r:id="rId119" w:anchor="cite_note-KnoYrSaint-11" w:history="1">
        <w:r w:rsidRPr="005249AC">
          <w:rPr>
            <w:rStyle w:val="a6"/>
            <w:rFonts w:ascii="Times New Roman" w:hAnsi="Times New Roman"/>
            <w:color w:val="0B0080"/>
            <w:sz w:val="20"/>
            <w:szCs w:val="20"/>
            <w:vertAlign w:val="superscript"/>
          </w:rPr>
          <w:t>[11]</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Many</w:t>
      </w:r>
      <w:r w:rsidRPr="005249AC">
        <w:rPr>
          <w:rStyle w:val="apple-converted-space"/>
          <w:rFonts w:ascii="Times New Roman" w:hAnsi="Times New Roman" w:cs="Times New Roman"/>
          <w:color w:val="252525"/>
          <w:sz w:val="20"/>
          <w:szCs w:val="20"/>
        </w:rPr>
        <w:t> </w:t>
      </w:r>
      <w:hyperlink r:id="rId120" w:tooltip="Protestantism" w:history="1">
        <w:r w:rsidRPr="005249AC">
          <w:rPr>
            <w:rStyle w:val="a6"/>
            <w:rFonts w:ascii="Times New Roman" w:hAnsi="Times New Roman"/>
            <w:color w:val="0B0080"/>
            <w:sz w:val="20"/>
            <w:szCs w:val="20"/>
          </w:rPr>
          <w:t>Protestants</w:t>
        </w:r>
      </w:hyperlink>
      <w:r w:rsidRPr="005249AC">
        <w:rPr>
          <w:rFonts w:ascii="Times New Roman" w:hAnsi="Times New Roman" w:cs="Times New Roman"/>
          <w:color w:val="252525"/>
          <w:sz w:val="20"/>
          <w:szCs w:val="20"/>
        </w:rPr>
        <w:t>, especially</w:t>
      </w:r>
      <w:r w:rsidRPr="005249AC">
        <w:rPr>
          <w:rStyle w:val="apple-converted-space"/>
          <w:rFonts w:ascii="Times New Roman" w:hAnsi="Times New Roman" w:cs="Times New Roman"/>
          <w:color w:val="252525"/>
          <w:sz w:val="20"/>
          <w:szCs w:val="20"/>
        </w:rPr>
        <w:t> </w:t>
      </w:r>
      <w:hyperlink r:id="rId121" w:tooltip="Calvinism" w:history="1">
        <w:r w:rsidRPr="005249AC">
          <w:rPr>
            <w:rStyle w:val="a6"/>
            <w:rFonts w:ascii="Times New Roman" w:hAnsi="Times New Roman"/>
            <w:color w:val="0B0080"/>
            <w:sz w:val="20"/>
            <w:szCs w:val="20"/>
          </w:rPr>
          <w:t>Calvinists</w:t>
        </w:r>
      </w:hyperlink>
      <w:r w:rsidRPr="005249AC">
        <w:rPr>
          <w:rFonts w:ascii="Times New Roman" w:hAnsi="Times New Roman" w:cs="Times New Roman"/>
          <w:color w:val="252525"/>
          <w:sz w:val="20"/>
          <w:szCs w:val="20"/>
        </w:rPr>
        <w:t>, consider him to be one of the theological fathers of the</w:t>
      </w:r>
      <w:r w:rsidRPr="005249AC">
        <w:rPr>
          <w:rStyle w:val="apple-converted-space"/>
          <w:rFonts w:ascii="Times New Roman" w:hAnsi="Times New Roman" w:cs="Times New Roman"/>
          <w:color w:val="252525"/>
          <w:sz w:val="20"/>
          <w:szCs w:val="20"/>
        </w:rPr>
        <w:t> </w:t>
      </w:r>
      <w:hyperlink r:id="rId122" w:tooltip="Protestant Reformation" w:history="1">
        <w:r w:rsidRPr="005249AC">
          <w:rPr>
            <w:rStyle w:val="a6"/>
            <w:rFonts w:ascii="Times New Roman" w:hAnsi="Times New Roman"/>
            <w:color w:val="0B0080"/>
            <w:sz w:val="20"/>
            <w:szCs w:val="20"/>
          </w:rPr>
          <w:t>Protestant Reformation</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due to his teachings on</w:t>
      </w:r>
      <w:r w:rsidRPr="005249AC">
        <w:rPr>
          <w:rStyle w:val="apple-converted-space"/>
          <w:rFonts w:ascii="Times New Roman" w:hAnsi="Times New Roman" w:cs="Times New Roman"/>
          <w:color w:val="252525"/>
          <w:sz w:val="20"/>
          <w:szCs w:val="20"/>
        </w:rPr>
        <w:t> </w:t>
      </w:r>
      <w:hyperlink r:id="rId123" w:tooltip="Salvation" w:history="1">
        <w:r w:rsidRPr="005249AC">
          <w:rPr>
            <w:rStyle w:val="a6"/>
            <w:rFonts w:ascii="Times New Roman" w:hAnsi="Times New Roman"/>
            <w:color w:val="0B0080"/>
            <w:sz w:val="20"/>
            <w:szCs w:val="20"/>
          </w:rPr>
          <w:t>salvation</w:t>
        </w:r>
      </w:hyperlink>
      <w:r w:rsidRPr="005249AC">
        <w:rPr>
          <w:rStyle w:val="apple-converted-space"/>
          <w:rFonts w:ascii="Times New Roman" w:hAnsi="Times New Roman" w:cs="Times New Roman"/>
          <w:color w:val="252525"/>
          <w:sz w:val="20"/>
          <w:szCs w:val="20"/>
        </w:rPr>
        <w:t> </w:t>
      </w:r>
      <w:r w:rsidRPr="005249AC">
        <w:rPr>
          <w:rFonts w:ascii="Times New Roman" w:hAnsi="Times New Roman" w:cs="Times New Roman"/>
          <w:color w:val="252525"/>
          <w:sz w:val="20"/>
          <w:szCs w:val="20"/>
        </w:rPr>
        <w:t>and</w:t>
      </w:r>
      <w:hyperlink r:id="rId124" w:tooltip="Divine grace" w:history="1">
        <w:r w:rsidRPr="005249AC">
          <w:rPr>
            <w:rStyle w:val="a6"/>
            <w:rFonts w:ascii="Times New Roman" w:hAnsi="Times New Roman"/>
            <w:color w:val="0B0080"/>
            <w:sz w:val="20"/>
            <w:szCs w:val="20"/>
          </w:rPr>
          <w:t>divine grace</w:t>
        </w:r>
      </w:hyperlink>
      <w:r w:rsidRPr="005249AC">
        <w:rPr>
          <w:rFonts w:ascii="Times New Roman" w:hAnsi="Times New Roman" w:cs="Times New Roman"/>
          <w:color w:val="252525"/>
          <w:sz w:val="20"/>
          <w:szCs w:val="20"/>
        </w:rPr>
        <w:t>.</w:t>
      </w:r>
      <w:r w:rsidRPr="005249AC">
        <w:rPr>
          <w:rFonts w:ascii="Times New Roman" w:hAnsi="Times New Roman" w:cs="Times New Roman"/>
          <w:color w:val="252525"/>
          <w:sz w:val="20"/>
          <w:szCs w:val="20"/>
          <w:vertAlign w:val="superscript"/>
        </w:rPr>
        <w:t>[</w:t>
      </w:r>
      <w:hyperlink r:id="rId125" w:tooltip="Wikipedia:Citation needed" w:history="1">
        <w:r w:rsidRPr="005249AC">
          <w:rPr>
            <w:rStyle w:val="a6"/>
            <w:rFonts w:ascii="Times New Roman" w:hAnsi="Times New Roman"/>
            <w:i/>
            <w:iCs/>
            <w:color w:val="0B0080"/>
            <w:sz w:val="20"/>
            <w:szCs w:val="20"/>
            <w:vertAlign w:val="superscript"/>
          </w:rPr>
          <w:t>citation needed</w:t>
        </w:r>
      </w:hyperlink>
      <w:r w:rsidRPr="005249AC">
        <w:rPr>
          <w:rFonts w:ascii="Times New Roman" w:hAnsi="Times New Roman" w:cs="Times New Roman"/>
          <w:color w:val="252525"/>
          <w:sz w:val="20"/>
          <w:szCs w:val="20"/>
          <w:vertAlign w:val="superscript"/>
        </w:rPr>
        <w:t>]</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Twofold, shib,111.</w:t>
      </w:r>
    </w:p>
    <w:p w:rsidR="00F84A76" w:rsidRPr="005249AC" w:rsidRDefault="00F84A76" w:rsidP="00F84A76">
      <w:pPr>
        <w:numPr>
          <w:ilvl w:val="0"/>
          <w:numId w:val="3"/>
        </w:numPr>
        <w:spacing w:line="480" w:lineRule="auto"/>
        <w:rPr>
          <w:rFonts w:ascii="Times New Roman" w:hAnsi="Times New Roman"/>
          <w:noProof/>
          <w:sz w:val="20"/>
          <w:szCs w:val="20"/>
        </w:rPr>
      </w:pPr>
      <w:r w:rsidRPr="005249AC">
        <w:rPr>
          <w:rFonts w:ascii="Times New Roman" w:hAnsi="Times New Roman"/>
          <w:noProof/>
          <w:sz w:val="20"/>
          <w:szCs w:val="20"/>
        </w:rPr>
        <w:t>Scripture itself.</w:t>
      </w:r>
    </w:p>
    <w:p w:rsidR="00F84A76" w:rsidRPr="005249AC" w:rsidRDefault="00F84A76" w:rsidP="00F84A76">
      <w:pPr>
        <w:numPr>
          <w:ilvl w:val="0"/>
          <w:numId w:val="3"/>
        </w:numPr>
        <w:spacing w:line="480" w:lineRule="auto"/>
        <w:rPr>
          <w:rFonts w:ascii="Times New Roman" w:hAnsi="Times New Roman"/>
          <w:noProof/>
          <w:sz w:val="20"/>
          <w:szCs w:val="20"/>
        </w:rPr>
      </w:pPr>
      <w:r w:rsidRPr="005249AC">
        <w:rPr>
          <w:rFonts w:ascii="Times New Roman" w:hAnsi="Times New Roman"/>
          <w:noProof/>
          <w:sz w:val="20"/>
          <w:szCs w:val="20"/>
        </w:rPr>
        <w:t>Tradition of the chruch</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Perhaps the most influential biblical interpreter for the next millennium was Augustine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(354</w:t>
      </w:r>
      <w:r w:rsidRPr="005249AC">
        <w:rPr>
          <w:rFonts w:ascii="Times New Roman" w:eastAsia="바탕" w:hAnsi="Times New Roman"/>
          <w:sz w:val="20"/>
          <w:szCs w:val="20"/>
        </w:rPr>
        <w:t>–</w:t>
      </w:r>
      <w:r w:rsidRPr="005249AC">
        <w:rPr>
          <w:rFonts w:ascii="Times New Roman" w:eastAsia="JoannaMTStd" w:hAnsi="Times New Roman"/>
          <w:sz w:val="20"/>
          <w:szCs w:val="20"/>
        </w:rPr>
        <w:t>430). His first encounter with the Bible was anything but promising. Compared to</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Cicero, Augustine found the Bible lacking in dignity. Some of Augustine’s first reactions to the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Bible may have stemmed from the primitive Latin translation he read.</w:t>
      </w:r>
    </w:p>
    <w:p w:rsidR="00F84A76" w:rsidRPr="0030468C" w:rsidRDefault="00F84A76" w:rsidP="00F84A76">
      <w:pPr>
        <w:rPr>
          <w:rFonts w:ascii="Times New Roman" w:eastAsia="JoannaMTStd" w:hAnsi="Times New Roman"/>
          <w:color w:val="C00000"/>
          <w:sz w:val="20"/>
          <w:szCs w:val="20"/>
        </w:rPr>
      </w:pPr>
      <w:r w:rsidRPr="005249AC">
        <w:rPr>
          <w:rFonts w:ascii="Times New Roman" w:eastAsia="JoannaMTStd" w:hAnsi="Times New Roman"/>
          <w:sz w:val="20"/>
          <w:szCs w:val="20"/>
        </w:rPr>
        <w:t xml:space="preserve">Augustine’s early training led him to believe </w:t>
      </w:r>
      <w:r w:rsidRPr="0030468C">
        <w:rPr>
          <w:rFonts w:ascii="Times New Roman" w:eastAsia="JoannaMTStd" w:hAnsi="Times New Roman"/>
          <w:color w:val="C00000"/>
          <w:sz w:val="20"/>
          <w:szCs w:val="20"/>
        </w:rPr>
        <w:t>the goal of interpretation was fidelity to the</w:t>
      </w:r>
    </w:p>
    <w:p w:rsidR="00F84A76" w:rsidRPr="005249AC" w:rsidRDefault="00F84A76" w:rsidP="00F84A76">
      <w:pPr>
        <w:rPr>
          <w:rFonts w:ascii="Times New Roman" w:eastAsia="JoannaMTStd" w:hAnsi="Times New Roman"/>
          <w:sz w:val="20"/>
          <w:szCs w:val="20"/>
        </w:rPr>
      </w:pPr>
      <w:r w:rsidRPr="0030468C">
        <w:rPr>
          <w:rFonts w:ascii="Times New Roman" w:eastAsia="JoannaMTStd" w:hAnsi="Times New Roman"/>
          <w:color w:val="C00000"/>
          <w:sz w:val="20"/>
          <w:szCs w:val="20"/>
        </w:rPr>
        <w:t>intent of the author as expressed in the text</w:t>
      </w:r>
      <w:r w:rsidRPr="005249AC">
        <w:rPr>
          <w:rFonts w:ascii="Times New Roman" w:eastAsia="JoannaMTStd" w:hAnsi="Times New Roman"/>
          <w:sz w:val="20"/>
          <w:szCs w:val="20"/>
        </w:rPr>
        <w:t>. This being said, there is some irony in the fact</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that Augustine’s conversion was made easier after he heard Ambrose apply the allegorical</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method in his preaching. As Augustine interpreted Scripture, he did not neglect the literal</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sense but went beyond it in passages that were ambiguous at the literal level.</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Augustine set forth a number of principles that have become part of sound biblical interpretation to the present. He recognized that an interpreter must know the text, preferably</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in the original languages, and have a broad knowledge of numerous subjects that are a</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part of biblical content. Augustine recognized that the Bible contains obscure and difficult</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passages. He taught that the interpreter should begin with clear passages and interpret obscure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passages in light of the clear ones.</w:t>
      </w:r>
    </w:p>
    <w:p w:rsidR="00F84A76" w:rsidRPr="0030468C" w:rsidRDefault="00F84A76" w:rsidP="00F84A76">
      <w:pPr>
        <w:rPr>
          <w:rFonts w:ascii="Times New Roman" w:eastAsia="JoannaMTStd" w:hAnsi="Times New Roman"/>
          <w:color w:val="C00000"/>
          <w:sz w:val="20"/>
          <w:szCs w:val="20"/>
        </w:rPr>
      </w:pPr>
      <w:r w:rsidRPr="005249AC">
        <w:rPr>
          <w:rFonts w:ascii="Times New Roman" w:eastAsia="JoannaMTStd" w:hAnsi="Times New Roman"/>
          <w:sz w:val="20"/>
          <w:szCs w:val="20"/>
        </w:rPr>
        <w:t>For Augustine the goal of biblical interpretation is spiritual</w:t>
      </w:r>
      <w:r w:rsidRPr="005249AC">
        <w:rPr>
          <w:rFonts w:ascii="Times New Roman" w:eastAsia="바탕" w:hAnsi="Times New Roman"/>
          <w:sz w:val="20"/>
          <w:szCs w:val="20"/>
        </w:rPr>
        <w:t>—</w:t>
      </w:r>
      <w:r w:rsidRPr="005249AC">
        <w:rPr>
          <w:rFonts w:ascii="Times New Roman" w:eastAsia="JoannaMTStd" w:hAnsi="Times New Roman"/>
          <w:sz w:val="20"/>
          <w:szCs w:val="20"/>
        </w:rPr>
        <w:t xml:space="preserve">nothing less than </w:t>
      </w:r>
      <w:r w:rsidRPr="0030468C">
        <w:rPr>
          <w:rFonts w:ascii="Times New Roman" w:eastAsia="JoannaMTStd" w:hAnsi="Times New Roman"/>
          <w:color w:val="C00000"/>
          <w:sz w:val="20"/>
          <w:szCs w:val="20"/>
        </w:rPr>
        <w:t>the transformation</w:t>
      </w:r>
    </w:p>
    <w:p w:rsidR="00F84A76" w:rsidRPr="005249AC" w:rsidRDefault="00F84A76" w:rsidP="00F84A76">
      <w:pPr>
        <w:rPr>
          <w:rFonts w:ascii="Times New Roman" w:eastAsia="JoannaMTStd" w:hAnsi="Times New Roman"/>
          <w:sz w:val="20"/>
          <w:szCs w:val="20"/>
        </w:rPr>
      </w:pPr>
      <w:r w:rsidRPr="0030468C">
        <w:rPr>
          <w:rFonts w:ascii="Times New Roman" w:eastAsia="JoannaMTStd" w:hAnsi="Times New Roman"/>
          <w:color w:val="C00000"/>
          <w:sz w:val="20"/>
          <w:szCs w:val="20"/>
        </w:rPr>
        <w:t xml:space="preserve">of the persons </w:t>
      </w:r>
      <w:r w:rsidRPr="005249AC">
        <w:rPr>
          <w:rFonts w:ascii="Times New Roman" w:eastAsia="JoannaMTStd" w:hAnsi="Times New Roman"/>
          <w:sz w:val="20"/>
          <w:szCs w:val="20"/>
        </w:rPr>
        <w:t>who read and study the Bible. This goal cannot be achieved through a</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mechanical process. Knowing language and history well are necessary for understanding the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Scriptures, but they are not sufficient. The spiritual dimension of the interpreter is integral to</w:t>
      </w:r>
    </w:p>
    <w:p w:rsidR="00F84A76" w:rsidRPr="005249AC" w:rsidRDefault="00F84A76" w:rsidP="00F84A76">
      <w:pPr>
        <w:rPr>
          <w:rFonts w:ascii="Times New Roman" w:eastAsia="JoannaMTStd" w:hAnsi="Times New Roman"/>
          <w:b/>
          <w:bCs/>
          <w:sz w:val="20"/>
          <w:szCs w:val="20"/>
        </w:rPr>
      </w:pPr>
      <w:r w:rsidRPr="005249AC">
        <w:rPr>
          <w:rFonts w:ascii="Times New Roman" w:eastAsia="JoannaMTStd" w:hAnsi="Times New Roman"/>
          <w:b/>
          <w:bCs/>
          <w:sz w:val="20"/>
          <w:szCs w:val="20"/>
        </w:rPr>
        <w:t xml:space="preserve">Page 3 </w:t>
      </w:r>
      <w:r w:rsidRPr="005249AC">
        <w:rPr>
          <w:rFonts w:ascii="Times New Roman" w:eastAsia="JoannaMTStd" w:hAnsi="Times New Roman"/>
          <w:i/>
          <w:iCs/>
          <w:sz w:val="20"/>
          <w:szCs w:val="20"/>
        </w:rPr>
        <w:t xml:space="preserve">of </w:t>
      </w:r>
      <w:r w:rsidRPr="005249AC">
        <w:rPr>
          <w:rFonts w:ascii="Times New Roman" w:eastAsia="JoannaMTStd" w:hAnsi="Times New Roman"/>
          <w:b/>
          <w:bCs/>
          <w:sz w:val="20"/>
          <w:szCs w:val="20"/>
        </w:rPr>
        <w:t>7</w:t>
      </w:r>
    </w:p>
    <w:p w:rsidR="00F84A76" w:rsidRPr="005249AC" w:rsidRDefault="00F84A76" w:rsidP="00F84A76">
      <w:pPr>
        <w:rPr>
          <w:rFonts w:ascii="Times New Roman" w:eastAsia="GillSansStd-Light" w:hAnsi="Times New Roman"/>
          <w:sz w:val="20"/>
          <w:szCs w:val="20"/>
        </w:rPr>
      </w:pPr>
      <w:r w:rsidRPr="005249AC">
        <w:rPr>
          <w:rFonts w:ascii="Times New Roman" w:eastAsia="GillSansStd-Light" w:hAnsi="Times New Roman"/>
          <w:sz w:val="20"/>
          <w:szCs w:val="20"/>
        </w:rPr>
        <w:t>Interpreting the Bible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the process of understanding Scripture, but neither is it sufficient. Augustine recognized that</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biblical interpretation was a task that engaged both the intellect and the heart.</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 xml:space="preserve">Augustine made a distinction between knowledge of language </w:t>
      </w:r>
      <w:r w:rsidRPr="005249AC">
        <w:rPr>
          <w:rFonts w:ascii="Times New Roman" w:eastAsia="JoannaMTStd-Italic" w:hAnsi="Times New Roman"/>
          <w:i/>
          <w:iCs/>
          <w:sz w:val="20"/>
          <w:szCs w:val="20"/>
        </w:rPr>
        <w:t xml:space="preserve">(linguarum notitia) </w:t>
      </w:r>
      <w:r w:rsidRPr="005249AC">
        <w:rPr>
          <w:rFonts w:ascii="Times New Roman" w:eastAsia="JoannaMTStd" w:hAnsi="Times New Roman"/>
          <w:sz w:val="20"/>
          <w:szCs w:val="20"/>
        </w:rPr>
        <w:t>and knowledge</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 xml:space="preserve">of things </w:t>
      </w:r>
      <w:r w:rsidRPr="005249AC">
        <w:rPr>
          <w:rFonts w:ascii="Times New Roman" w:eastAsia="JoannaMTStd-Italic" w:hAnsi="Times New Roman"/>
          <w:i/>
          <w:iCs/>
          <w:sz w:val="20"/>
          <w:szCs w:val="20"/>
        </w:rPr>
        <w:t>(rerum notitia)</w:t>
      </w:r>
      <w:r w:rsidRPr="005249AC">
        <w:rPr>
          <w:rFonts w:ascii="Times New Roman" w:eastAsia="JoannaMTStd" w:hAnsi="Times New Roman"/>
          <w:sz w:val="20"/>
          <w:szCs w:val="20"/>
        </w:rPr>
        <w:t xml:space="preserve">. In </w:t>
      </w:r>
      <w:r w:rsidRPr="005249AC">
        <w:rPr>
          <w:rFonts w:ascii="Times New Roman" w:eastAsia="JoannaMTStd-Italic" w:hAnsi="Times New Roman"/>
          <w:i/>
          <w:iCs/>
          <w:sz w:val="20"/>
          <w:szCs w:val="20"/>
        </w:rPr>
        <w:t xml:space="preserve">On the Teacher </w:t>
      </w:r>
      <w:r w:rsidRPr="005249AC">
        <w:rPr>
          <w:rFonts w:ascii="Times New Roman" w:eastAsia="JoannaMTStd" w:hAnsi="Times New Roman"/>
          <w:sz w:val="20"/>
          <w:szCs w:val="20"/>
        </w:rPr>
        <w:t>Augustine maintained that language (signs) does</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not provide knowledge but prompts the reader to remember what they already know. In spiritual</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matters Christ is the teacher and the source of this knowledge. Augustine distinguished</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between literal signs and figurative signs. The language of Genesis that gives the account of</w:t>
      </w:r>
    </w:p>
    <w:p w:rsidR="00F84A76" w:rsidRPr="005249AC" w:rsidRDefault="00F84A76" w:rsidP="00F84A76">
      <w:pPr>
        <w:rPr>
          <w:rFonts w:ascii="Times New Roman" w:eastAsia="JoannaMTStd" w:hAnsi="Times New Roman"/>
          <w:sz w:val="20"/>
          <w:szCs w:val="20"/>
        </w:rPr>
      </w:pPr>
      <w:r w:rsidRPr="005249AC">
        <w:rPr>
          <w:rFonts w:ascii="Times New Roman" w:eastAsia="JoannaMTStd" w:hAnsi="Times New Roman"/>
          <w:sz w:val="20"/>
          <w:szCs w:val="20"/>
        </w:rPr>
        <w:t>Abraham taking Isaac to Mount Moriah uses literal signs. This same language can be read</w:t>
      </w:r>
    </w:p>
    <w:p w:rsidR="00F84A76" w:rsidRDefault="00F84A76" w:rsidP="00F84A76">
      <w:pPr>
        <w:spacing w:line="480" w:lineRule="auto"/>
        <w:rPr>
          <w:rFonts w:ascii="Times New Roman" w:eastAsia="JoannaMTStd" w:hAnsi="Times New Roman"/>
          <w:sz w:val="20"/>
          <w:szCs w:val="20"/>
        </w:rPr>
      </w:pPr>
      <w:r w:rsidRPr="005249AC">
        <w:rPr>
          <w:rFonts w:ascii="Times New Roman" w:eastAsia="JoannaMTStd" w:hAnsi="Times New Roman"/>
          <w:sz w:val="20"/>
          <w:szCs w:val="20"/>
        </w:rPr>
        <w:lastRenderedPageBreak/>
        <w:t>figuratively as pointing to the death of Christ.</w:t>
      </w:r>
    </w:p>
    <w:p w:rsidR="0030468C" w:rsidRPr="0030468C" w:rsidRDefault="0030468C" w:rsidP="00F84A76">
      <w:pPr>
        <w:spacing w:line="480" w:lineRule="auto"/>
        <w:rPr>
          <w:rFonts w:ascii="Times New Roman" w:hAnsi="Times New Roman"/>
          <w:noProof/>
          <w:color w:val="C00000"/>
          <w:sz w:val="20"/>
          <w:szCs w:val="20"/>
        </w:rPr>
      </w:pPr>
      <w:r w:rsidRPr="0030468C">
        <w:rPr>
          <w:rFonts w:ascii="Times New Roman" w:eastAsia="JoannaMTStd" w:hAnsi="Times New Roman" w:hint="eastAsia"/>
          <w:color w:val="C00000"/>
          <w:sz w:val="20"/>
          <w:szCs w:val="20"/>
        </w:rPr>
        <w:t>MJ Ahn  from here</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Augustine of Hippo (354-430) had a great influence upon the interpretation of the Middle Ages</w:t>
      </w:r>
      <w:r w:rsidRPr="005249AC">
        <w:rPr>
          <w:rFonts w:ascii="Times New Roman" w:hAnsi="Times New Roman"/>
          <w:noProof/>
          <w:sz w:val="20"/>
          <w:szCs w:val="20"/>
        </w:rPr>
        <w:footnoteReference w:id="33"/>
      </w:r>
      <w:r w:rsidRPr="005249AC">
        <w:rPr>
          <w:rFonts w:ascii="Times New Roman" w:hAnsi="Times New Roman"/>
          <w:noProof/>
          <w:sz w:val="20"/>
          <w:szCs w:val="20"/>
        </w:rPr>
        <w:t>. Trigg says, "In the exegesis of Scripture, as in so much else, Augustine summed up the achievements of the Latin Patristic tradition and passed it on to the Medieval church.</w:t>
      </w:r>
      <w:r w:rsidRPr="005249AC">
        <w:rPr>
          <w:rFonts w:ascii="Times New Roman" w:hAnsi="Times New Roman"/>
          <w:noProof/>
          <w:sz w:val="20"/>
          <w:szCs w:val="20"/>
        </w:rPr>
        <w:footnoteReference w:id="34"/>
      </w:r>
      <w:r w:rsidRPr="005249AC">
        <w:rPr>
          <w:rFonts w:ascii="Times New Roman" w:hAnsi="Times New Roman"/>
          <w:noProof/>
          <w:sz w:val="20"/>
          <w:szCs w:val="20"/>
        </w:rPr>
        <w:t>"</w:t>
      </w:r>
    </w:p>
    <w:p w:rsidR="00F84A76"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Augustine accepted </w:t>
      </w:r>
      <w:r w:rsidRPr="0030468C">
        <w:rPr>
          <w:rFonts w:ascii="Times New Roman" w:hAnsi="Times New Roman"/>
          <w:noProof/>
          <w:color w:val="C00000"/>
          <w:sz w:val="20"/>
          <w:szCs w:val="20"/>
        </w:rPr>
        <w:t>the fourfold sense</w:t>
      </w:r>
      <w:r w:rsidRPr="005249AC">
        <w:rPr>
          <w:rFonts w:ascii="Times New Roman" w:hAnsi="Times New Roman"/>
          <w:noProof/>
          <w:sz w:val="20"/>
          <w:szCs w:val="20"/>
        </w:rPr>
        <w:t xml:space="preserve"> of the text which would be adopted later by medieval interpreters. Caplan explains the method of the four senses of Biblical interpretation succinctly:</w:t>
      </w:r>
    </w:p>
    <w:p w:rsidR="0030468C" w:rsidRPr="005249AC" w:rsidRDefault="0030468C" w:rsidP="00F84A76">
      <w:pPr>
        <w:spacing w:line="480" w:lineRule="auto"/>
        <w:ind w:firstLine="720"/>
        <w:rPr>
          <w:rFonts w:ascii="Times New Roman" w:hAnsi="Times New Roman"/>
          <w:noProof/>
          <w:sz w:val="20"/>
          <w:szCs w:val="20"/>
        </w:rPr>
      </w:pPr>
    </w:p>
    <w:p w:rsidR="0030468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Senses are multiplied in four ways: </w:t>
      </w:r>
    </w:p>
    <w:p w:rsidR="0030468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(1) </w:t>
      </w:r>
      <w:r w:rsidRPr="005249AC">
        <w:rPr>
          <w:rFonts w:ascii="Times New Roman" w:hAnsi="Times New Roman"/>
          <w:i/>
          <w:iCs/>
          <w:noProof/>
          <w:sz w:val="20"/>
          <w:szCs w:val="20"/>
        </w:rPr>
        <w:t>sensus historicus</w:t>
      </w:r>
      <w:r w:rsidRPr="005249AC">
        <w:rPr>
          <w:rFonts w:ascii="Times New Roman" w:hAnsi="Times New Roman"/>
          <w:noProof/>
          <w:sz w:val="20"/>
          <w:szCs w:val="20"/>
        </w:rPr>
        <w:t xml:space="preserve"> or </w:t>
      </w:r>
      <w:r w:rsidRPr="005249AC">
        <w:rPr>
          <w:rFonts w:ascii="Times New Roman" w:hAnsi="Times New Roman"/>
          <w:i/>
          <w:iCs/>
          <w:noProof/>
          <w:sz w:val="20"/>
          <w:szCs w:val="20"/>
        </w:rPr>
        <w:t>literalis</w:t>
      </w:r>
      <w:r w:rsidRPr="005249AC">
        <w:rPr>
          <w:rFonts w:ascii="Times New Roman" w:hAnsi="Times New Roman"/>
          <w:noProof/>
          <w:sz w:val="20"/>
          <w:szCs w:val="20"/>
        </w:rPr>
        <w:t>, by a simple explanation</w:t>
      </w:r>
      <w:r w:rsidR="0030468C">
        <w:rPr>
          <w:rFonts w:ascii="Times New Roman" w:hAnsi="Times New Roman" w:hint="eastAsia"/>
          <w:noProof/>
          <w:sz w:val="20"/>
          <w:szCs w:val="20"/>
        </w:rPr>
        <w:t xml:space="preserve"> </w:t>
      </w:r>
      <w:r w:rsidRPr="005249AC">
        <w:rPr>
          <w:rFonts w:ascii="Times New Roman" w:hAnsi="Times New Roman"/>
          <w:noProof/>
          <w:sz w:val="20"/>
          <w:szCs w:val="20"/>
        </w:rPr>
        <w:t xml:space="preserve">of the words; </w:t>
      </w:r>
    </w:p>
    <w:p w:rsidR="0030468C" w:rsidRDefault="00F84A76" w:rsidP="0030468C">
      <w:pPr>
        <w:ind w:firstLine="720"/>
        <w:rPr>
          <w:rFonts w:ascii="Times New Roman" w:hAnsi="Times New Roman"/>
          <w:noProof/>
          <w:sz w:val="20"/>
          <w:szCs w:val="20"/>
        </w:rPr>
      </w:pPr>
      <w:r w:rsidRPr="005249AC">
        <w:rPr>
          <w:rFonts w:ascii="Times New Roman" w:hAnsi="Times New Roman"/>
          <w:noProof/>
          <w:sz w:val="20"/>
          <w:szCs w:val="20"/>
        </w:rPr>
        <w:t xml:space="preserve">(2) </w:t>
      </w:r>
      <w:r w:rsidRPr="005249AC">
        <w:rPr>
          <w:rFonts w:ascii="Times New Roman" w:hAnsi="Times New Roman"/>
          <w:i/>
          <w:iCs/>
          <w:noProof/>
          <w:sz w:val="20"/>
          <w:szCs w:val="20"/>
        </w:rPr>
        <w:t>sensus tropologicus</w:t>
      </w:r>
      <w:r w:rsidRPr="005249AC">
        <w:rPr>
          <w:rFonts w:ascii="Times New Roman" w:hAnsi="Times New Roman"/>
          <w:noProof/>
          <w:sz w:val="20"/>
          <w:szCs w:val="20"/>
        </w:rPr>
        <w:t>,</w:t>
      </w:r>
      <w:r w:rsidR="0030468C">
        <w:rPr>
          <w:rFonts w:ascii="Times New Roman" w:hAnsi="Times New Roman" w:hint="eastAsia"/>
          <w:noProof/>
          <w:sz w:val="20"/>
          <w:szCs w:val="20"/>
        </w:rPr>
        <w:t xml:space="preserve"> </w:t>
      </w:r>
      <w:r w:rsidRPr="005249AC">
        <w:rPr>
          <w:rFonts w:ascii="Times New Roman" w:hAnsi="Times New Roman"/>
          <w:noProof/>
          <w:sz w:val="20"/>
          <w:szCs w:val="20"/>
        </w:rPr>
        <w:t>which looks to instr</w:t>
      </w:r>
      <w:r w:rsidR="0030468C">
        <w:rPr>
          <w:rFonts w:ascii="Times New Roman" w:hAnsi="Times New Roman"/>
          <w:noProof/>
          <w:sz w:val="20"/>
          <w:szCs w:val="20"/>
        </w:rPr>
        <w:t xml:space="preserve">uction or to the correction of </w:t>
      </w:r>
      <w:r w:rsidRPr="005249AC">
        <w:rPr>
          <w:rFonts w:ascii="Times New Roman" w:hAnsi="Times New Roman"/>
          <w:noProof/>
          <w:sz w:val="20"/>
          <w:szCs w:val="20"/>
        </w:rPr>
        <w:t xml:space="preserve">morals; </w:t>
      </w:r>
    </w:p>
    <w:p w:rsidR="0030468C" w:rsidRDefault="0030468C" w:rsidP="0030468C">
      <w:pPr>
        <w:rPr>
          <w:rFonts w:ascii="Times New Roman" w:hAnsi="Times New Roman"/>
          <w:noProof/>
          <w:sz w:val="20"/>
          <w:szCs w:val="20"/>
        </w:rPr>
      </w:pPr>
      <w:r>
        <w:rPr>
          <w:rFonts w:ascii="Times New Roman" w:hAnsi="Times New Roman" w:hint="eastAsia"/>
          <w:noProof/>
          <w:sz w:val="20"/>
          <w:szCs w:val="20"/>
        </w:rPr>
        <w:t xml:space="preserve"> </w:t>
      </w:r>
      <w:r>
        <w:rPr>
          <w:rFonts w:ascii="Times New Roman" w:hAnsi="Times New Roman" w:hint="eastAsia"/>
          <w:noProof/>
          <w:sz w:val="20"/>
          <w:szCs w:val="20"/>
        </w:rPr>
        <w:tab/>
      </w:r>
      <w:r w:rsidR="00F84A76" w:rsidRPr="005249AC">
        <w:rPr>
          <w:rFonts w:ascii="Times New Roman" w:hAnsi="Times New Roman"/>
          <w:noProof/>
          <w:sz w:val="20"/>
          <w:szCs w:val="20"/>
        </w:rPr>
        <w:t xml:space="preserve">(3) </w:t>
      </w:r>
      <w:r w:rsidR="00F84A76" w:rsidRPr="005249AC">
        <w:rPr>
          <w:rFonts w:ascii="Times New Roman" w:hAnsi="Times New Roman"/>
          <w:i/>
          <w:iCs/>
          <w:noProof/>
          <w:sz w:val="20"/>
          <w:szCs w:val="20"/>
        </w:rPr>
        <w:t>allegoricus</w:t>
      </w:r>
      <w:r w:rsidR="00F84A76" w:rsidRPr="005249AC">
        <w:rPr>
          <w:rFonts w:ascii="Times New Roman" w:hAnsi="Times New Roman"/>
          <w:noProof/>
          <w:sz w:val="20"/>
          <w:szCs w:val="20"/>
        </w:rPr>
        <w:t>. Exposition by this</w:t>
      </w:r>
      <w:r>
        <w:rPr>
          <w:rFonts w:ascii="Times New Roman" w:hAnsi="Times New Roman" w:hint="eastAsia"/>
          <w:noProof/>
          <w:sz w:val="20"/>
          <w:szCs w:val="20"/>
        </w:rPr>
        <w:t xml:space="preserve"> </w:t>
      </w:r>
      <w:r w:rsidR="00F84A76" w:rsidRPr="005249AC">
        <w:rPr>
          <w:rFonts w:ascii="Times New Roman" w:hAnsi="Times New Roman"/>
          <w:noProof/>
          <w:sz w:val="20"/>
          <w:szCs w:val="20"/>
        </w:rPr>
        <w:t xml:space="preserve">sense is exposition by a 'sense other than the literal'; </w:t>
      </w:r>
      <w:r w:rsidR="00F84A76" w:rsidRPr="005249AC">
        <w:rPr>
          <w:rFonts w:ascii="Times New Roman" w:hAnsi="Times New Roman"/>
          <w:noProof/>
          <w:sz w:val="20"/>
          <w:szCs w:val="20"/>
        </w:rPr>
        <w:tab/>
      </w:r>
      <w:r>
        <w:rPr>
          <w:rFonts w:ascii="Times New Roman" w:hAnsi="Times New Roman" w:hint="eastAsia"/>
          <w:noProof/>
          <w:sz w:val="20"/>
          <w:szCs w:val="20"/>
        </w:rPr>
        <w:t xml:space="preserve">                                 </w:t>
      </w:r>
      <w:r>
        <w:rPr>
          <w:rFonts w:ascii="Times New Roman" w:hAnsi="Times New Roman" w:hint="eastAsia"/>
          <w:noProof/>
          <w:sz w:val="20"/>
          <w:szCs w:val="20"/>
        </w:rPr>
        <w:tab/>
      </w:r>
      <w:r w:rsidR="00F84A76" w:rsidRPr="005249AC">
        <w:rPr>
          <w:rFonts w:ascii="Times New Roman" w:hAnsi="Times New Roman"/>
          <w:noProof/>
          <w:sz w:val="20"/>
          <w:szCs w:val="20"/>
        </w:rPr>
        <w:t xml:space="preserve">(4) the sensus </w:t>
      </w:r>
      <w:r w:rsidR="00F84A76" w:rsidRPr="005249AC">
        <w:rPr>
          <w:rFonts w:ascii="Times New Roman" w:hAnsi="Times New Roman"/>
          <w:i/>
          <w:iCs/>
          <w:noProof/>
          <w:sz w:val="20"/>
          <w:szCs w:val="20"/>
        </w:rPr>
        <w:t>anagogicus</w:t>
      </w:r>
      <w:r w:rsidR="00F84A76" w:rsidRPr="005249AC">
        <w:rPr>
          <w:rFonts w:ascii="Times New Roman" w:hAnsi="Times New Roman"/>
          <w:noProof/>
          <w:sz w:val="20"/>
          <w:szCs w:val="20"/>
        </w:rPr>
        <w:t xml:space="preserve">, used mystically or openly, </w:t>
      </w:r>
      <w:r w:rsidR="00F84A76" w:rsidRPr="005249AC">
        <w:rPr>
          <w:rFonts w:ascii="Times New Roman" w:hAnsi="Times New Roman"/>
          <w:noProof/>
          <w:sz w:val="20"/>
          <w:szCs w:val="20"/>
        </w:rPr>
        <w:tab/>
      </w:r>
    </w:p>
    <w:p w:rsidR="00F84A76" w:rsidRDefault="0030468C" w:rsidP="00F84A76">
      <w:pPr>
        <w:spacing w:line="480" w:lineRule="auto"/>
        <w:rPr>
          <w:rFonts w:ascii="Times New Roman" w:hAnsi="Times New Roman"/>
          <w:noProof/>
          <w:sz w:val="20"/>
          <w:szCs w:val="20"/>
        </w:rPr>
      </w:pPr>
      <w:r>
        <w:rPr>
          <w:rFonts w:ascii="Times New Roman" w:hAnsi="Times New Roman" w:hint="eastAsia"/>
          <w:noProof/>
          <w:sz w:val="20"/>
          <w:szCs w:val="20"/>
        </w:rPr>
        <w:tab/>
      </w:r>
      <w:r w:rsidR="00F84A76" w:rsidRPr="005249AC">
        <w:rPr>
          <w:rFonts w:ascii="Times New Roman" w:hAnsi="Times New Roman"/>
          <w:noProof/>
          <w:sz w:val="20"/>
          <w:szCs w:val="20"/>
        </w:rPr>
        <w:t xml:space="preserve">'the minds of the listeners are to be stirred and </w:t>
      </w:r>
      <w:r w:rsidR="00F84A76" w:rsidRPr="005249AC">
        <w:rPr>
          <w:rFonts w:ascii="Times New Roman" w:hAnsi="Times New Roman"/>
          <w:noProof/>
          <w:sz w:val="20"/>
          <w:szCs w:val="20"/>
        </w:rPr>
        <w:tab/>
        <w:t xml:space="preserve">exhorted to the contemplation of heavenly </w:t>
      </w:r>
      <w:r>
        <w:rPr>
          <w:rFonts w:ascii="Times New Roman" w:hAnsi="Times New Roman" w:hint="eastAsia"/>
          <w:noProof/>
          <w:sz w:val="20"/>
          <w:szCs w:val="20"/>
        </w:rPr>
        <w:t>things.</w:t>
      </w:r>
      <w:r>
        <w:rPr>
          <w:rFonts w:ascii="Times New Roman" w:hAnsi="Times New Roman" w:hint="eastAsia"/>
          <w:noProof/>
          <w:sz w:val="20"/>
          <w:szCs w:val="20"/>
        </w:rPr>
        <w:tab/>
      </w:r>
    </w:p>
    <w:p w:rsidR="0030468C" w:rsidRPr="0030468C" w:rsidRDefault="0030468C" w:rsidP="00F84A76">
      <w:pPr>
        <w:spacing w:line="480" w:lineRule="auto"/>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Although he did </w:t>
      </w:r>
      <w:r w:rsidRPr="0030468C">
        <w:rPr>
          <w:rFonts w:ascii="Times New Roman" w:hAnsi="Times New Roman"/>
          <w:noProof/>
          <w:color w:val="FF0000"/>
          <w:sz w:val="20"/>
          <w:szCs w:val="20"/>
        </w:rPr>
        <w:t>not ignore the literal</w:t>
      </w:r>
      <w:r w:rsidRPr="005249AC">
        <w:rPr>
          <w:rFonts w:ascii="Times New Roman" w:hAnsi="Times New Roman"/>
          <w:noProof/>
          <w:sz w:val="20"/>
          <w:szCs w:val="20"/>
        </w:rPr>
        <w:t xml:space="preserve"> meaning of the text, Augustine tended to stress </w:t>
      </w:r>
      <w:r w:rsidRPr="0030468C">
        <w:rPr>
          <w:rFonts w:ascii="Times New Roman" w:hAnsi="Times New Roman"/>
          <w:noProof/>
          <w:color w:val="FF0000"/>
          <w:sz w:val="20"/>
          <w:szCs w:val="20"/>
        </w:rPr>
        <w:t>the spiritual and allegorical interpretation</w:t>
      </w:r>
      <w:r w:rsidRPr="005249AC">
        <w:rPr>
          <w:rFonts w:ascii="Times New Roman" w:hAnsi="Times New Roman"/>
          <w:noProof/>
          <w:sz w:val="20"/>
          <w:szCs w:val="20"/>
        </w:rPr>
        <w:t xml:space="preserve"> of Scripture. Ambrose had a significant influence upon Augustine's method of allegorical interpretation. Augustine suggested that an interpreter should "use what is morally worthy of God as a criterion, a principle of exegesis he derives from the need for charity.</w:t>
      </w:r>
      <w:r w:rsidRPr="005249AC">
        <w:rPr>
          <w:rFonts w:ascii="Times New Roman" w:hAnsi="Times New Roman"/>
          <w:noProof/>
          <w:sz w:val="20"/>
          <w:szCs w:val="20"/>
        </w:rPr>
        <w:footnoteReference w:id="35"/>
      </w:r>
      <w:r w:rsidRPr="005249AC">
        <w:rPr>
          <w:rFonts w:ascii="Times New Roman" w:hAnsi="Times New Roman"/>
          <w:noProof/>
          <w:sz w:val="20"/>
          <w:szCs w:val="20"/>
        </w:rPr>
        <w:t xml:space="preserve">" He also insisted that the interpretation of Scripture be consistent with </w:t>
      </w:r>
      <w:r w:rsidRPr="0030468C">
        <w:rPr>
          <w:rFonts w:ascii="Times New Roman" w:hAnsi="Times New Roman"/>
          <w:noProof/>
          <w:color w:val="FF0000"/>
          <w:sz w:val="20"/>
          <w:szCs w:val="20"/>
        </w:rPr>
        <w:t>the church's rule</w:t>
      </w:r>
      <w:r w:rsidRPr="005249AC">
        <w:rPr>
          <w:rFonts w:ascii="Times New Roman" w:hAnsi="Times New Roman"/>
          <w:noProof/>
          <w:sz w:val="20"/>
          <w:szCs w:val="20"/>
        </w:rPr>
        <w:t xml:space="preserve"> of faith. Following the </w:t>
      </w:r>
      <w:r w:rsidRPr="0030468C">
        <w:rPr>
          <w:rFonts w:ascii="Times New Roman" w:hAnsi="Times New Roman"/>
          <w:noProof/>
          <w:color w:val="FF0000"/>
          <w:sz w:val="20"/>
          <w:szCs w:val="20"/>
        </w:rPr>
        <w:t>rule of faith</w:t>
      </w:r>
      <w:r w:rsidRPr="005249AC">
        <w:rPr>
          <w:rFonts w:ascii="Times New Roman" w:hAnsi="Times New Roman"/>
          <w:noProof/>
          <w:sz w:val="20"/>
          <w:szCs w:val="20"/>
        </w:rPr>
        <w:t xml:space="preserve">, Augustine emphasized </w:t>
      </w:r>
      <w:r w:rsidRPr="0030468C">
        <w:rPr>
          <w:rFonts w:ascii="Times New Roman" w:hAnsi="Times New Roman"/>
          <w:noProof/>
          <w:color w:val="FF0000"/>
          <w:sz w:val="20"/>
          <w:szCs w:val="20"/>
        </w:rPr>
        <w:t>the doctrinal interpretation of Scripture</w:t>
      </w:r>
      <w:r w:rsidRPr="005249AC">
        <w:rPr>
          <w:rFonts w:ascii="Times New Roman" w:hAnsi="Times New Roman"/>
          <w:noProof/>
          <w:sz w:val="20"/>
          <w:szCs w:val="20"/>
        </w:rPr>
        <w:t xml:space="preserve">.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Calvin </w:t>
      </w:r>
      <w:r w:rsidRPr="0030468C">
        <w:rPr>
          <w:rFonts w:ascii="Times New Roman" w:hAnsi="Times New Roman"/>
          <w:noProof/>
          <w:color w:val="FF0000"/>
          <w:sz w:val="20"/>
          <w:szCs w:val="20"/>
        </w:rPr>
        <w:t>stood firmly in the theological method and tradition of Augustine</w:t>
      </w:r>
      <w:r w:rsidRPr="005249AC">
        <w:rPr>
          <w:rFonts w:ascii="Times New Roman" w:hAnsi="Times New Roman"/>
          <w:noProof/>
          <w:sz w:val="20"/>
          <w:szCs w:val="20"/>
        </w:rPr>
        <w:t>. But in his commentaries Calvin did not follow Augustine's interpretation of Scripture</w:t>
      </w:r>
      <w:r w:rsidRPr="005249AC">
        <w:rPr>
          <w:rFonts w:ascii="Times New Roman" w:hAnsi="Times New Roman"/>
          <w:noProof/>
          <w:sz w:val="20"/>
          <w:szCs w:val="20"/>
        </w:rPr>
        <w:footnoteReference w:id="36"/>
      </w:r>
      <w:r w:rsidRPr="005249AC">
        <w:rPr>
          <w:rFonts w:ascii="Times New Roman" w:hAnsi="Times New Roman"/>
          <w:noProof/>
          <w:sz w:val="20"/>
          <w:szCs w:val="20"/>
        </w:rPr>
        <w:t xml:space="preserve">. That Calvin did not accept Augustine's wrong </w:t>
      </w:r>
      <w:r w:rsidRPr="005249AC">
        <w:rPr>
          <w:rFonts w:ascii="Times New Roman" w:hAnsi="Times New Roman"/>
          <w:noProof/>
          <w:sz w:val="20"/>
          <w:szCs w:val="20"/>
        </w:rPr>
        <w:lastRenderedPageBreak/>
        <w:t xml:space="preserve">interpretation does not mean that Augustine's method did </w:t>
      </w:r>
      <w:r w:rsidRPr="0030468C">
        <w:rPr>
          <w:rFonts w:ascii="Times New Roman" w:hAnsi="Times New Roman"/>
          <w:noProof/>
          <w:color w:val="FF0000"/>
          <w:sz w:val="20"/>
          <w:szCs w:val="20"/>
        </w:rPr>
        <w:t>not include a literal interpretation</w:t>
      </w:r>
      <w:r w:rsidRPr="005249AC">
        <w:rPr>
          <w:rFonts w:ascii="Times New Roman" w:hAnsi="Times New Roman"/>
          <w:noProof/>
          <w:sz w:val="20"/>
          <w:szCs w:val="20"/>
        </w:rPr>
        <w:t xml:space="preserve"> of Scripture.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Calvin's attitude toward Augustine's interpretatio</w:t>
      </w:r>
      <w:r w:rsidRPr="005249AC">
        <w:rPr>
          <w:rFonts w:ascii="Times New Roman" w:hAnsi="Times New Roman"/>
          <w:noProof/>
          <w:sz w:val="20"/>
          <w:szCs w:val="20"/>
        </w:rPr>
        <w:footnoteReference w:id="37"/>
      </w:r>
      <w:r w:rsidRPr="005249AC">
        <w:rPr>
          <w:rFonts w:ascii="Times New Roman" w:hAnsi="Times New Roman"/>
          <w:noProof/>
          <w:sz w:val="20"/>
          <w:szCs w:val="20"/>
        </w:rPr>
        <w:t xml:space="preserve">n was ambiguous because Calvin generally followed Augustine's theological doctrine of Christianity, but rejected Augustine's wrong interpretation of the text. Using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Calvin rejected Augustine's prolix interpretation of Scripture. Here Calvin showed how he formed brevity, one of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This principle was to interpret the text in as brief a manner as possible. In a letter to Farel in 1549 he said, "You know how reverently I feel toward Augustine, yet I do not conceal that his prolixity is displeasing to me. Still it may be that my brevity is too concise.</w:t>
      </w:r>
      <w:r w:rsidRPr="005249AC">
        <w:rPr>
          <w:rFonts w:ascii="Times New Roman" w:hAnsi="Times New Roman"/>
          <w:noProof/>
          <w:sz w:val="20"/>
          <w:szCs w:val="20"/>
        </w:rPr>
        <w:footnoteReference w:id="38"/>
      </w:r>
      <w:r w:rsidRPr="005249AC">
        <w:rPr>
          <w:rFonts w:ascii="Times New Roman" w:hAnsi="Times New Roman"/>
          <w:noProof/>
          <w:sz w:val="20"/>
          <w:szCs w:val="20"/>
        </w:rPr>
        <w:t>" Calvin stated that Augustine's interpretation did not show the intention of the author clearly.</w:t>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 xml:space="preserve">He (Paul) says further, that the Spirit is given, that is </w:t>
      </w:r>
      <w:r w:rsidRPr="005249AC">
        <w:rPr>
          <w:rFonts w:ascii="Times New Roman" w:hAnsi="Times New Roman"/>
          <w:noProof/>
          <w:sz w:val="20"/>
          <w:szCs w:val="20"/>
        </w:rPr>
        <w:tab/>
        <w:t xml:space="preserve">bestowed through the gratuitous goodness of God, and not </w:t>
      </w:r>
      <w:r w:rsidRPr="005249AC">
        <w:rPr>
          <w:rFonts w:ascii="Times New Roman" w:hAnsi="Times New Roman"/>
          <w:noProof/>
          <w:sz w:val="20"/>
          <w:szCs w:val="20"/>
        </w:rPr>
        <w:tab/>
        <w:t xml:space="preserve">conferred for our merits; according to what Augustine has </w:t>
      </w:r>
      <w:r w:rsidRPr="005249AC">
        <w:rPr>
          <w:rFonts w:ascii="Times New Roman" w:hAnsi="Times New Roman"/>
          <w:noProof/>
          <w:sz w:val="20"/>
          <w:szCs w:val="20"/>
        </w:rPr>
        <w:tab/>
        <w:t xml:space="preserve">well observed, who, though he is mistaken in his view of </w:t>
      </w:r>
      <w:r w:rsidRPr="005249AC">
        <w:rPr>
          <w:rFonts w:ascii="Times New Roman" w:hAnsi="Times New Roman"/>
          <w:noProof/>
          <w:sz w:val="20"/>
          <w:szCs w:val="20"/>
        </w:rPr>
        <w:tab/>
        <w:t xml:space="preserve">the love of God, gives this explanation, - that we </w:t>
      </w:r>
      <w:r w:rsidRPr="005249AC">
        <w:rPr>
          <w:rFonts w:ascii="Times New Roman" w:hAnsi="Times New Roman"/>
          <w:noProof/>
          <w:sz w:val="20"/>
          <w:szCs w:val="20"/>
        </w:rPr>
        <w:tab/>
        <w:t xml:space="preserve">courageously bear adversities, and are thus confirmed in </w:t>
      </w:r>
      <w:r w:rsidRPr="005249AC">
        <w:rPr>
          <w:rFonts w:ascii="Times New Roman" w:hAnsi="Times New Roman"/>
          <w:noProof/>
          <w:sz w:val="20"/>
          <w:szCs w:val="20"/>
        </w:rPr>
        <w:tab/>
        <w:t xml:space="preserve">our hope, because we, having been regenerated by the </w:t>
      </w:r>
      <w:r w:rsidRPr="005249AC">
        <w:rPr>
          <w:rFonts w:ascii="Times New Roman" w:hAnsi="Times New Roman"/>
          <w:noProof/>
          <w:sz w:val="20"/>
          <w:szCs w:val="20"/>
        </w:rPr>
        <w:tab/>
        <w:t xml:space="preserve">Spirit, do love God. It is indeed a pious sentiment, but </w:t>
      </w:r>
      <w:r w:rsidRPr="005249AC">
        <w:rPr>
          <w:rFonts w:ascii="Times New Roman" w:hAnsi="Times New Roman"/>
          <w:noProof/>
          <w:sz w:val="20"/>
          <w:szCs w:val="20"/>
        </w:rPr>
        <w:tab/>
        <w:t xml:space="preserve">not what Paul means: for love is not to be taken here in </w:t>
      </w:r>
      <w:r w:rsidRPr="005249AC">
        <w:rPr>
          <w:rFonts w:ascii="Times New Roman" w:hAnsi="Times New Roman"/>
          <w:noProof/>
          <w:sz w:val="20"/>
          <w:szCs w:val="20"/>
        </w:rPr>
        <w:tab/>
        <w:t xml:space="preserve">an active but a passive sense. And certain it is, that </w:t>
      </w:r>
      <w:r w:rsidRPr="005249AC">
        <w:rPr>
          <w:rFonts w:ascii="Times New Roman" w:hAnsi="Times New Roman"/>
          <w:noProof/>
          <w:sz w:val="20"/>
          <w:szCs w:val="20"/>
        </w:rPr>
        <w:tab/>
        <w:t xml:space="preserve">no </w:t>
      </w:r>
      <w:r w:rsidRPr="005249AC">
        <w:rPr>
          <w:rFonts w:ascii="Times New Roman" w:hAnsi="Times New Roman"/>
          <w:noProof/>
          <w:sz w:val="20"/>
          <w:szCs w:val="20"/>
        </w:rPr>
        <w:tab/>
        <w:t>other thing is taught by Paul than that the true fountain</w:t>
      </w:r>
      <w:r w:rsidRPr="005249AC">
        <w:rPr>
          <w:rFonts w:ascii="Times New Roman" w:hAnsi="Times New Roman"/>
          <w:noProof/>
          <w:sz w:val="20"/>
          <w:szCs w:val="20"/>
        </w:rPr>
        <w:tab/>
      </w:r>
    </w:p>
    <w:p w:rsidR="00F84A76" w:rsidRPr="005249AC" w:rsidRDefault="00F84A76" w:rsidP="00F84A76">
      <w:pPr>
        <w:ind w:firstLine="720"/>
        <w:rPr>
          <w:rFonts w:ascii="Times New Roman" w:hAnsi="Times New Roman"/>
          <w:noProof/>
          <w:sz w:val="20"/>
          <w:szCs w:val="20"/>
        </w:rPr>
      </w:pPr>
      <w:r w:rsidRPr="005249AC">
        <w:rPr>
          <w:rFonts w:ascii="Times New Roman" w:hAnsi="Times New Roman"/>
          <w:noProof/>
          <w:sz w:val="20"/>
          <w:szCs w:val="20"/>
        </w:rPr>
        <w:t>of all love is, when the faithful are not slightly</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 </w:t>
      </w:r>
      <w:r w:rsidRPr="005249AC">
        <w:rPr>
          <w:rFonts w:ascii="Times New Roman" w:hAnsi="Times New Roman"/>
          <w:noProof/>
          <w:sz w:val="20"/>
          <w:szCs w:val="20"/>
        </w:rPr>
        <w:tab/>
        <w:t xml:space="preserve">touched with this conviction, but have their souls </w:t>
      </w:r>
      <w:r w:rsidRPr="005249AC">
        <w:rPr>
          <w:rFonts w:ascii="Times New Roman" w:hAnsi="Times New Roman"/>
          <w:noProof/>
          <w:sz w:val="20"/>
          <w:szCs w:val="20"/>
        </w:rPr>
        <w:tab/>
        <w:t>thoroughly imbued with it</w:t>
      </w:r>
      <w:r w:rsidRPr="005249AC">
        <w:rPr>
          <w:rFonts w:ascii="Times New Roman" w:hAnsi="Times New Roman"/>
          <w:noProof/>
          <w:sz w:val="20"/>
          <w:szCs w:val="20"/>
        </w:rPr>
        <w:footnoteReference w:id="39"/>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Since Calvin believed that the chief task of an interpreter was to reveal the intention of the author (</w:t>
      </w:r>
      <w:r w:rsidRPr="005249AC">
        <w:rPr>
          <w:rFonts w:ascii="Times New Roman" w:hAnsi="Times New Roman"/>
          <w:i/>
          <w:iCs/>
          <w:noProof/>
          <w:sz w:val="20"/>
          <w:szCs w:val="20"/>
        </w:rPr>
        <w:t>mentem scriptoris</w:t>
      </w:r>
      <w:r w:rsidRPr="005249AC">
        <w:rPr>
          <w:rFonts w:ascii="Times New Roman" w:hAnsi="Times New Roman"/>
          <w:noProof/>
          <w:sz w:val="20"/>
          <w:szCs w:val="20"/>
        </w:rPr>
        <w:t xml:space="preserve">), he seldom followed Augustine's interpretation without showing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Calvin correctly criticized Augustine: "Augustine's interpretation of the word </w:t>
      </w:r>
      <w:r w:rsidRPr="005249AC">
        <w:rPr>
          <w:rFonts w:ascii="Times New Roman" w:hAnsi="Times New Roman"/>
          <w:i/>
          <w:iCs/>
          <w:noProof/>
          <w:sz w:val="20"/>
          <w:szCs w:val="20"/>
        </w:rPr>
        <w:t>proegrape</w:t>
      </w:r>
      <w:r w:rsidRPr="005249AC">
        <w:rPr>
          <w:rFonts w:ascii="Times New Roman" w:hAnsi="Times New Roman"/>
          <w:noProof/>
          <w:sz w:val="20"/>
          <w:szCs w:val="20"/>
        </w:rPr>
        <w:t xml:space="preserve"> ("hath been set forth") is harsh, and inconsistent with Paul's design.</w:t>
      </w:r>
      <w:r w:rsidRPr="005249AC">
        <w:rPr>
          <w:rFonts w:ascii="Times New Roman" w:hAnsi="Times New Roman"/>
          <w:noProof/>
          <w:sz w:val="20"/>
          <w:szCs w:val="20"/>
        </w:rPr>
        <w:footnoteReference w:id="40"/>
      </w:r>
      <w:r w:rsidRPr="005249AC">
        <w:rPr>
          <w:rFonts w:ascii="Times New Roman" w:hAnsi="Times New Roman"/>
          <w:noProof/>
          <w:sz w:val="20"/>
          <w:szCs w:val="20"/>
        </w:rPr>
        <w:t>" He also pointed out that the problem with Augustine's interpretation was that his explanations were not related to the text.</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For though what Augustine says is true, that even the </w:t>
      </w:r>
      <w:r w:rsidRPr="005249AC">
        <w:rPr>
          <w:rFonts w:ascii="Times New Roman" w:hAnsi="Times New Roman"/>
          <w:noProof/>
          <w:sz w:val="20"/>
          <w:szCs w:val="20"/>
        </w:rPr>
        <w:tab/>
        <w:t xml:space="preserve">sins of the saints are, through the guiding providence of </w:t>
      </w:r>
      <w:r w:rsidRPr="005249AC">
        <w:rPr>
          <w:rFonts w:ascii="Times New Roman" w:hAnsi="Times New Roman"/>
          <w:noProof/>
          <w:sz w:val="20"/>
          <w:szCs w:val="20"/>
        </w:rPr>
        <w:tab/>
        <w:t xml:space="preserve">God, so far from doing harm to them, that, on the </w:t>
      </w:r>
      <w:r w:rsidRPr="005249AC">
        <w:rPr>
          <w:rFonts w:ascii="Times New Roman" w:hAnsi="Times New Roman"/>
          <w:noProof/>
          <w:sz w:val="20"/>
          <w:szCs w:val="20"/>
        </w:rPr>
        <w:tab/>
        <w:t xml:space="preserve">contrary, they serve to advance </w:t>
      </w:r>
      <w:r w:rsidRPr="005249AC">
        <w:rPr>
          <w:rFonts w:ascii="Times New Roman" w:hAnsi="Times New Roman"/>
          <w:noProof/>
          <w:sz w:val="20"/>
          <w:szCs w:val="20"/>
        </w:rPr>
        <w:lastRenderedPageBreak/>
        <w:t xml:space="preserve">their salvation; yet this </w:t>
      </w:r>
      <w:r w:rsidRPr="005249AC">
        <w:rPr>
          <w:rFonts w:ascii="Times New Roman" w:hAnsi="Times New Roman"/>
          <w:noProof/>
          <w:sz w:val="20"/>
          <w:szCs w:val="20"/>
        </w:rPr>
        <w:tab/>
        <w:t xml:space="preserve">belongs not to this passage, the subject of which is the </w:t>
      </w:r>
      <w:r w:rsidRPr="005249AC">
        <w:rPr>
          <w:rFonts w:ascii="Times New Roman" w:hAnsi="Times New Roman"/>
          <w:noProof/>
          <w:sz w:val="20"/>
          <w:szCs w:val="20"/>
        </w:rPr>
        <w:tab/>
        <w:t>cross</w:t>
      </w:r>
      <w:r w:rsidRPr="005249AC">
        <w:rPr>
          <w:rFonts w:ascii="Times New Roman" w:hAnsi="Times New Roman"/>
          <w:noProof/>
          <w:sz w:val="20"/>
          <w:szCs w:val="20"/>
        </w:rPr>
        <w:footnoteReference w:id="41"/>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Here Calvin employed respect for the context, one of the most significant elements of the ideal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This principle was that an interpreter limited the scope of his interpretation on the issues related to the passage of Scripture, and tried not to depart from the central message of the text and to wander outside the key point of the subject. Calvin's criticism above did not mean that Augustine had disregarded for the context in interpreting the meaning of the text. What Calvin pointed out was that the exceedingly doctrinal interpretation of Scripture made an interpreter not to see what the passage itself said. Calvin agreed with Augustine on doctrine, but disagreed with him on the wrong interpretation of the Biblical text. In the interpretation of Gen. 22:12, for example, "Now I know that thou fearest God" Calvin remarked that Augustine's interpretation was forced. "The exposition of Augustine, `I have caused thee to know,' is forced.</w:t>
      </w:r>
      <w:r w:rsidRPr="005249AC">
        <w:rPr>
          <w:rFonts w:ascii="Times New Roman" w:hAnsi="Times New Roman"/>
          <w:noProof/>
          <w:sz w:val="20"/>
          <w:szCs w:val="20"/>
        </w:rPr>
        <w:footnoteReference w:id="42"/>
      </w:r>
      <w:r w:rsidRPr="005249AC">
        <w:rPr>
          <w:rFonts w:ascii="Times New Roman" w:hAnsi="Times New Roman"/>
          <w:noProof/>
          <w:sz w:val="20"/>
          <w:szCs w:val="20"/>
        </w:rPr>
        <w:t>" Calvin indicated that the problem with Augustine's interpretation was related to the fact that he did not examine the Greek manuscripts</w:t>
      </w:r>
      <w:r w:rsidRPr="005249AC">
        <w:rPr>
          <w:rFonts w:ascii="Times New Roman" w:hAnsi="Times New Roman"/>
          <w:noProof/>
          <w:sz w:val="20"/>
          <w:szCs w:val="20"/>
        </w:rPr>
        <w:footnoteReference w:id="43"/>
      </w:r>
      <w:r w:rsidRPr="005249AC">
        <w:rPr>
          <w:rFonts w:ascii="Times New Roman" w:hAnsi="Times New Roman"/>
          <w:noProof/>
          <w:sz w:val="20"/>
          <w:szCs w:val="20"/>
        </w:rPr>
        <w:t>.</w:t>
      </w:r>
      <w:r w:rsidRPr="005249AC">
        <w:rPr>
          <w:rFonts w:ascii="Times New Roman" w:hAnsi="Times New Roman"/>
          <w:noProof/>
          <w:sz w:val="20"/>
          <w:szCs w:val="20"/>
        </w:rPr>
        <w:tab/>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The prolix, doctrinal, forced interpretation of Augustine motivated Calvin to employ the principle of brevity. Through criticizing the problems of Augustine's interpretation,  Calvin took the opportunity to formulate his own distinctive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p>
    <w:p w:rsidR="00007BB1" w:rsidRDefault="00F84A76" w:rsidP="00F84A76">
      <w:pPr>
        <w:spacing w:line="480" w:lineRule="auto"/>
        <w:ind w:firstLine="2160"/>
        <w:rPr>
          <w:rFonts w:ascii="Times New Roman" w:hAnsi="Times New Roman"/>
          <w:noProof/>
          <w:sz w:val="20"/>
          <w:szCs w:val="20"/>
        </w:rPr>
      </w:pPr>
      <w:r w:rsidRPr="005249AC">
        <w:rPr>
          <w:rFonts w:ascii="Times New Roman" w:hAnsi="Times New Roman"/>
          <w:noProof/>
          <w:sz w:val="20"/>
          <w:szCs w:val="20"/>
        </w:rPr>
        <w:t>E. The Roman Catholics</w:t>
      </w:r>
      <w:r w:rsidR="00007BB1">
        <w:rPr>
          <w:rFonts w:ascii="Times New Roman" w:hAnsi="Times New Roman" w:hint="eastAsia"/>
          <w:noProof/>
          <w:sz w:val="20"/>
          <w:szCs w:val="20"/>
        </w:rPr>
        <w:t xml:space="preserve">- </w:t>
      </w:r>
    </w:p>
    <w:p w:rsidR="00F84A76" w:rsidRPr="00007BB1" w:rsidRDefault="00007BB1" w:rsidP="00F84A76">
      <w:pPr>
        <w:spacing w:line="480" w:lineRule="auto"/>
        <w:ind w:firstLine="2160"/>
        <w:rPr>
          <w:rFonts w:ascii="Times New Roman" w:hAnsi="Times New Roman"/>
          <w:noProof/>
          <w:color w:val="FF0000"/>
          <w:sz w:val="20"/>
          <w:szCs w:val="20"/>
        </w:rPr>
      </w:pPr>
      <w:r w:rsidRPr="00007BB1">
        <w:rPr>
          <w:rFonts w:ascii="Times New Roman" w:hAnsi="Times New Roman" w:hint="eastAsia"/>
          <w:noProof/>
          <w:color w:val="FF0000"/>
          <w:sz w:val="20"/>
          <w:szCs w:val="20"/>
        </w:rPr>
        <w:t>waist the text, force the text with the wrong doctire for itself.</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Before dealing with the interpretation of Scripture of the Roman Catholics we need to take into account the general background to the biblical interpretation of the Middle Ages. The Medieval Ages' interpretation was rooted in the tradition of the Fathers, which it developed in its own characteristic way</w:t>
      </w:r>
      <w:r w:rsidRPr="005249AC">
        <w:rPr>
          <w:rFonts w:ascii="Times New Roman" w:hAnsi="Times New Roman"/>
          <w:noProof/>
          <w:sz w:val="20"/>
          <w:szCs w:val="20"/>
        </w:rPr>
        <w:footnoteReference w:id="44"/>
      </w:r>
      <w:r w:rsidRPr="005249AC">
        <w:rPr>
          <w:rFonts w:ascii="Times New Roman" w:hAnsi="Times New Roman"/>
          <w:noProof/>
          <w:sz w:val="20"/>
          <w:szCs w:val="20"/>
        </w:rPr>
        <w:t xml:space="preserve">. </w:t>
      </w:r>
      <w:r w:rsidRPr="005249AC">
        <w:rPr>
          <w:rFonts w:ascii="Times New Roman" w:hAnsi="Times New Roman"/>
          <w:noProof/>
          <w:sz w:val="20"/>
          <w:szCs w:val="20"/>
        </w:rPr>
        <w:lastRenderedPageBreak/>
        <w:t xml:space="preserve">During the Middle Ages, the interpreters interpreted Scripture mainly with the use of the </w:t>
      </w:r>
      <w:r w:rsidRPr="0030468C">
        <w:rPr>
          <w:rFonts w:ascii="Times New Roman" w:hAnsi="Times New Roman"/>
          <w:i/>
          <w:iCs/>
          <w:noProof/>
          <w:color w:val="FF0000"/>
          <w:sz w:val="20"/>
          <w:szCs w:val="20"/>
        </w:rPr>
        <w:t>gloss</w:t>
      </w:r>
      <w:r w:rsidRPr="0030468C">
        <w:rPr>
          <w:rFonts w:ascii="Times New Roman" w:hAnsi="Times New Roman"/>
          <w:noProof/>
          <w:color w:val="FF0000"/>
          <w:sz w:val="20"/>
          <w:szCs w:val="20"/>
        </w:rPr>
        <w:t xml:space="preserve"> and the </w:t>
      </w:r>
      <w:r w:rsidRPr="0030468C">
        <w:rPr>
          <w:rFonts w:ascii="Times New Roman" w:hAnsi="Times New Roman"/>
          <w:i/>
          <w:iCs/>
          <w:noProof/>
          <w:color w:val="FF0000"/>
          <w:sz w:val="20"/>
          <w:szCs w:val="20"/>
        </w:rPr>
        <w:t>scholium</w:t>
      </w:r>
      <w:r w:rsidRPr="005249AC">
        <w:rPr>
          <w:rFonts w:ascii="Times New Roman" w:hAnsi="Times New Roman"/>
          <w:noProof/>
          <w:sz w:val="20"/>
          <w:szCs w:val="20"/>
        </w:rPr>
        <w:t xml:space="preserve"> (or </w:t>
      </w:r>
      <w:r w:rsidRPr="005249AC">
        <w:rPr>
          <w:rFonts w:ascii="Times New Roman" w:hAnsi="Times New Roman"/>
          <w:i/>
          <w:iCs/>
          <w:noProof/>
          <w:sz w:val="20"/>
          <w:szCs w:val="20"/>
        </w:rPr>
        <w:t>scholion</w:t>
      </w:r>
      <w:r w:rsidRPr="005249AC">
        <w:rPr>
          <w:rFonts w:ascii="Times New Roman" w:hAnsi="Times New Roman"/>
          <w:noProof/>
          <w:sz w:val="20"/>
          <w:szCs w:val="20"/>
        </w:rPr>
        <w:t xml:space="preserve">) and the fourfold sense in accordance with the tradition of the Fathers. Generally the </w:t>
      </w:r>
      <w:r w:rsidRPr="005249AC">
        <w:rPr>
          <w:rFonts w:ascii="Times New Roman" w:hAnsi="Times New Roman"/>
          <w:i/>
          <w:iCs/>
          <w:noProof/>
          <w:sz w:val="20"/>
          <w:szCs w:val="20"/>
        </w:rPr>
        <w:t>gloss</w:t>
      </w:r>
      <w:r w:rsidRPr="005249AC">
        <w:rPr>
          <w:rFonts w:ascii="Times New Roman" w:hAnsi="Times New Roman"/>
          <w:noProof/>
          <w:sz w:val="20"/>
          <w:szCs w:val="20"/>
        </w:rPr>
        <w:t xml:space="preserve"> was the most characteristic device of the Medieval interpreters</w:t>
      </w:r>
      <w:r w:rsidRPr="005249AC">
        <w:rPr>
          <w:rFonts w:ascii="Times New Roman" w:hAnsi="Times New Roman"/>
          <w:noProof/>
          <w:sz w:val="20"/>
          <w:szCs w:val="20"/>
        </w:rPr>
        <w:footnoteReference w:id="45"/>
      </w:r>
      <w:r w:rsidRPr="005249AC">
        <w:rPr>
          <w:rFonts w:ascii="Times New Roman" w:hAnsi="Times New Roman"/>
          <w:noProof/>
          <w:sz w:val="20"/>
          <w:szCs w:val="20"/>
        </w:rPr>
        <w:t>. It consisted of</w:t>
      </w:r>
      <w:r w:rsidRPr="0030468C">
        <w:rPr>
          <w:rFonts w:ascii="Times New Roman" w:hAnsi="Times New Roman"/>
          <w:noProof/>
          <w:color w:val="FF0000"/>
          <w:sz w:val="20"/>
          <w:szCs w:val="20"/>
        </w:rPr>
        <w:t xml:space="preserve"> brief commentaries on words, phrases or sentences</w:t>
      </w:r>
      <w:r w:rsidRPr="005249AC">
        <w:rPr>
          <w:rFonts w:ascii="Times New Roman" w:hAnsi="Times New Roman"/>
          <w:noProof/>
          <w:sz w:val="20"/>
          <w:szCs w:val="20"/>
        </w:rPr>
        <w:footnoteReference w:id="46"/>
      </w:r>
      <w:r w:rsidRPr="005249AC">
        <w:rPr>
          <w:rFonts w:ascii="Times New Roman" w:hAnsi="Times New Roman"/>
          <w:noProof/>
          <w:sz w:val="20"/>
          <w:szCs w:val="20"/>
        </w:rPr>
        <w:t xml:space="preserve">. The </w:t>
      </w:r>
      <w:r w:rsidRPr="0030468C">
        <w:rPr>
          <w:rFonts w:ascii="Times New Roman" w:hAnsi="Times New Roman"/>
          <w:i/>
          <w:iCs/>
          <w:noProof/>
          <w:color w:val="FF0000"/>
          <w:sz w:val="20"/>
          <w:szCs w:val="20"/>
        </w:rPr>
        <w:t>scholium</w:t>
      </w:r>
      <w:r w:rsidRPr="0030468C">
        <w:rPr>
          <w:rFonts w:ascii="Times New Roman" w:hAnsi="Times New Roman"/>
          <w:noProof/>
          <w:color w:val="FF0000"/>
          <w:sz w:val="20"/>
          <w:szCs w:val="20"/>
        </w:rPr>
        <w:t xml:space="preserve"> was a longer theological interpretation of certain parts of the text which an interpreter considered important. </w:t>
      </w:r>
      <w:r w:rsidRPr="005249AC">
        <w:rPr>
          <w:rFonts w:ascii="Times New Roman" w:hAnsi="Times New Roman"/>
          <w:noProof/>
          <w:sz w:val="20"/>
          <w:szCs w:val="20"/>
        </w:rPr>
        <w:t xml:space="preserve">During that era the use of the </w:t>
      </w:r>
      <w:r w:rsidRPr="005249AC">
        <w:rPr>
          <w:rFonts w:ascii="Times New Roman" w:hAnsi="Times New Roman"/>
          <w:i/>
          <w:iCs/>
          <w:noProof/>
          <w:sz w:val="20"/>
          <w:szCs w:val="20"/>
        </w:rPr>
        <w:t>gloss</w:t>
      </w:r>
      <w:r w:rsidRPr="005249AC">
        <w:rPr>
          <w:rFonts w:ascii="Times New Roman" w:hAnsi="Times New Roman"/>
          <w:noProof/>
          <w:sz w:val="20"/>
          <w:szCs w:val="20"/>
        </w:rPr>
        <w:t xml:space="preserve"> and the </w:t>
      </w:r>
      <w:r w:rsidRPr="005249AC">
        <w:rPr>
          <w:rFonts w:ascii="Times New Roman" w:hAnsi="Times New Roman"/>
          <w:i/>
          <w:iCs/>
          <w:noProof/>
          <w:sz w:val="20"/>
          <w:szCs w:val="20"/>
        </w:rPr>
        <w:t>scholium</w:t>
      </w:r>
      <w:r w:rsidRPr="005249AC">
        <w:rPr>
          <w:rFonts w:ascii="Times New Roman" w:hAnsi="Times New Roman"/>
          <w:noProof/>
          <w:sz w:val="20"/>
          <w:szCs w:val="20"/>
        </w:rPr>
        <w:t xml:space="preserve"> functioned as a canon for interpreting Scripture. Also, most of the interpreters during the Middle Ages took the fourfold sense of Scripture as their hermeneutical starting point</w:t>
      </w:r>
      <w:r w:rsidRPr="005249AC">
        <w:rPr>
          <w:rFonts w:ascii="Times New Roman" w:hAnsi="Times New Roman"/>
          <w:noProof/>
          <w:sz w:val="20"/>
          <w:szCs w:val="20"/>
        </w:rPr>
        <w:footnoteReference w:id="47"/>
      </w:r>
      <w:r w:rsidRPr="005249AC">
        <w:rPr>
          <w:rFonts w:ascii="Times New Roman" w:hAnsi="Times New Roman"/>
          <w:noProof/>
          <w:sz w:val="20"/>
          <w:szCs w:val="20"/>
        </w:rPr>
        <w:t>. During the late Middle Ages Andrew of Victor, Nicholas of Lyra, and Thomas Aquina</w:t>
      </w:r>
      <w:r w:rsidRPr="005249AC">
        <w:rPr>
          <w:rFonts w:ascii="Times New Roman" w:hAnsi="Times New Roman"/>
          <w:noProof/>
          <w:sz w:val="20"/>
          <w:szCs w:val="20"/>
        </w:rPr>
        <w:footnoteReference w:id="48"/>
      </w:r>
      <w:r w:rsidRPr="005249AC">
        <w:rPr>
          <w:rFonts w:ascii="Times New Roman" w:hAnsi="Times New Roman"/>
          <w:noProof/>
          <w:sz w:val="20"/>
          <w:szCs w:val="20"/>
        </w:rPr>
        <w:t xml:space="preserve">s stressed the literal sense of Scripture more than other interpreters of their day. But the </w:t>
      </w:r>
      <w:r w:rsidRPr="005249AC">
        <w:rPr>
          <w:rFonts w:ascii="Times New Roman" w:hAnsi="Times New Roman"/>
          <w:noProof/>
          <w:sz w:val="20"/>
          <w:szCs w:val="20"/>
        </w:rPr>
        <w:lastRenderedPageBreak/>
        <w:t>fourfold sense of Scripture was still largely accepted by the Medieval interpreters. Especially Nicholas of Lyra (1270-1349) began to reject the allegorical interpretation and the tradition of the Fathers. Adopting the method of Thomas Aquinas' hermeneutics, Lyra developed his own method for the interpretation of Scripture. He placed considerable emphasis upon the literal sense of Scripture, and especially influenced Luther's hermeneutics</w:t>
      </w:r>
      <w:r w:rsidRPr="005249AC">
        <w:rPr>
          <w:rFonts w:ascii="Times New Roman" w:hAnsi="Times New Roman"/>
          <w:noProof/>
          <w:sz w:val="20"/>
          <w:szCs w:val="20"/>
        </w:rPr>
        <w:footnoteReference w:id="49"/>
      </w:r>
      <w:r w:rsidRPr="005249AC">
        <w:rPr>
          <w:rFonts w:ascii="Times New Roman" w:hAnsi="Times New Roman"/>
          <w:noProof/>
          <w:sz w:val="20"/>
          <w:szCs w:val="20"/>
        </w:rPr>
        <w:t>.</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strongly criticized the Roman Catholic church on the interpretation of Scripture and began to point out the weaknesses in the Roman Catholic view of Scripture</w:t>
      </w:r>
      <w:r w:rsidRPr="005249AC">
        <w:rPr>
          <w:rFonts w:ascii="Times New Roman" w:hAnsi="Times New Roman"/>
          <w:noProof/>
          <w:sz w:val="20"/>
          <w:szCs w:val="20"/>
        </w:rPr>
        <w:footnoteReference w:id="50"/>
      </w:r>
      <w:r w:rsidRPr="005249AC">
        <w:rPr>
          <w:rFonts w:ascii="Times New Roman" w:hAnsi="Times New Roman"/>
          <w:noProof/>
          <w:sz w:val="20"/>
          <w:szCs w:val="20"/>
        </w:rPr>
        <w:t xml:space="preserve">.2 Calvin criticized that the Roman </w:t>
      </w:r>
      <w:r w:rsidRPr="00007BB1">
        <w:rPr>
          <w:rFonts w:ascii="Times New Roman" w:hAnsi="Times New Roman"/>
          <w:noProof/>
          <w:color w:val="FF0000"/>
          <w:sz w:val="20"/>
          <w:szCs w:val="20"/>
        </w:rPr>
        <w:t>Catholic church did not accept the clarity of Scripture.</w:t>
      </w:r>
      <w:r w:rsidRPr="005249AC">
        <w:rPr>
          <w:rFonts w:ascii="Times New Roman" w:hAnsi="Times New Roman"/>
          <w:noProof/>
          <w:sz w:val="20"/>
          <w:szCs w:val="20"/>
        </w:rPr>
        <w:t xml:space="preserve"> "Wherefore it is detestable blasphemy against God in that the </w:t>
      </w:r>
      <w:r w:rsidRPr="00007BB1">
        <w:rPr>
          <w:rFonts w:ascii="Times New Roman" w:hAnsi="Times New Roman"/>
          <w:noProof/>
          <w:color w:val="FF0000"/>
          <w:sz w:val="20"/>
          <w:szCs w:val="20"/>
        </w:rPr>
        <w:t>Papists say, that the Scripture is dark and doubtful</w:t>
      </w:r>
      <w:r w:rsidRPr="005249AC">
        <w:rPr>
          <w:rFonts w:ascii="Times New Roman" w:hAnsi="Times New Roman"/>
          <w:noProof/>
          <w:sz w:val="20"/>
          <w:szCs w:val="20"/>
        </w:rPr>
        <w:t>. For to what end should God have spoken, unless the plain and invincible truth should show itself in his words?</w:t>
      </w:r>
      <w:r w:rsidRPr="005249AC">
        <w:rPr>
          <w:rFonts w:ascii="Times New Roman" w:hAnsi="Times New Roman"/>
          <w:noProof/>
          <w:sz w:val="20"/>
          <w:szCs w:val="20"/>
        </w:rPr>
        <w:footnoteReference w:id="51"/>
      </w:r>
      <w:r w:rsidRPr="005249AC">
        <w:rPr>
          <w:rFonts w:ascii="Times New Roman" w:hAnsi="Times New Roman"/>
          <w:noProof/>
          <w:sz w:val="20"/>
          <w:szCs w:val="20"/>
        </w:rPr>
        <w:t xml:space="preserve">" The theological basis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employed by Calvin derived from the fact that Scripture itself was clear. But the Roman Catholic interpreters did not accept the Reformers' view that the fundamental clarity of Scripture offered a hermeneutical </w:t>
      </w:r>
      <w:r w:rsidRPr="005249AC">
        <w:rPr>
          <w:rFonts w:ascii="Times New Roman" w:hAnsi="Times New Roman"/>
          <w:noProof/>
          <w:sz w:val="20"/>
          <w:szCs w:val="20"/>
        </w:rPr>
        <w:lastRenderedPageBreak/>
        <w:t>principle of Scripture</w:t>
      </w:r>
      <w:r w:rsidRPr="005249AC">
        <w:rPr>
          <w:rFonts w:ascii="Times New Roman" w:hAnsi="Times New Roman"/>
          <w:noProof/>
          <w:sz w:val="20"/>
          <w:szCs w:val="20"/>
        </w:rPr>
        <w:footnoteReference w:id="52"/>
      </w:r>
      <w:r w:rsidRPr="005249AC">
        <w:rPr>
          <w:rFonts w:ascii="Times New Roman" w:hAnsi="Times New Roman"/>
          <w:noProof/>
          <w:sz w:val="20"/>
          <w:szCs w:val="20"/>
        </w:rPr>
        <w:t>. Calvin also rejected the Roman Catholic view that an interpretation of Scripture adopted by a vote of council was true and certain</w:t>
      </w:r>
      <w:r w:rsidRPr="005249AC">
        <w:rPr>
          <w:rFonts w:ascii="Times New Roman" w:hAnsi="Times New Roman"/>
          <w:noProof/>
          <w:sz w:val="20"/>
          <w:szCs w:val="20"/>
        </w:rPr>
        <w:footnoteReference w:id="53"/>
      </w:r>
      <w:r w:rsidRPr="005249AC">
        <w:rPr>
          <w:rFonts w:ascii="Times New Roman" w:hAnsi="Times New Roman"/>
          <w:noProof/>
          <w:sz w:val="20"/>
          <w:szCs w:val="20"/>
        </w:rPr>
        <w:t>. He a</w:t>
      </w:r>
      <w:r w:rsidRPr="00007BB1">
        <w:rPr>
          <w:rFonts w:ascii="Times New Roman" w:hAnsi="Times New Roman"/>
          <w:noProof/>
          <w:sz w:val="20"/>
          <w:szCs w:val="20"/>
          <w:highlight w:val="red"/>
        </w:rPr>
        <w:t>ttacked the `Romanists' for teaching that the power of interpreting Scripture belonged to councils,</w:t>
      </w:r>
      <w:r w:rsidRPr="005249AC">
        <w:rPr>
          <w:rFonts w:ascii="Times New Roman" w:hAnsi="Times New Roman"/>
          <w:noProof/>
          <w:sz w:val="20"/>
          <w:szCs w:val="20"/>
        </w:rPr>
        <w:t xml:space="preserve"> and without appeal</w:t>
      </w:r>
      <w:r w:rsidRPr="005249AC">
        <w:rPr>
          <w:rFonts w:ascii="Times New Roman" w:hAnsi="Times New Roman"/>
          <w:noProof/>
          <w:sz w:val="20"/>
          <w:szCs w:val="20"/>
        </w:rPr>
        <w:footnoteReference w:id="54"/>
      </w:r>
      <w:r w:rsidRPr="005249AC">
        <w:rPr>
          <w:rFonts w:ascii="Times New Roman" w:hAnsi="Times New Roman"/>
          <w:noProof/>
          <w:sz w:val="20"/>
          <w:szCs w:val="20"/>
        </w:rPr>
        <w:t xml:space="preserve">. He </w:t>
      </w:r>
      <w:r w:rsidRPr="00007BB1">
        <w:rPr>
          <w:rFonts w:ascii="Times New Roman" w:hAnsi="Times New Roman"/>
          <w:noProof/>
          <w:sz w:val="20"/>
          <w:szCs w:val="20"/>
          <w:highlight w:val="red"/>
        </w:rPr>
        <w:t>criticized their view that the authority of Scripture was grounded in the approval of the church</w:t>
      </w:r>
      <w:r w:rsidRPr="00007BB1">
        <w:rPr>
          <w:rFonts w:ascii="Times New Roman" w:hAnsi="Times New Roman"/>
          <w:noProof/>
          <w:sz w:val="20"/>
          <w:szCs w:val="20"/>
          <w:highlight w:val="red"/>
        </w:rPr>
        <w:footnoteReference w:id="55"/>
      </w:r>
      <w:r w:rsidRPr="00007BB1">
        <w:rPr>
          <w:rFonts w:ascii="Times New Roman" w:hAnsi="Times New Roman"/>
          <w:noProof/>
          <w:sz w:val="20"/>
          <w:szCs w:val="20"/>
          <w:highlight w:val="red"/>
        </w:rPr>
        <w:t>.</w:t>
      </w:r>
      <w:r w:rsidRPr="005249AC">
        <w:rPr>
          <w:rFonts w:ascii="Times New Roman" w:hAnsi="Times New Roman"/>
          <w:noProof/>
          <w:sz w:val="20"/>
          <w:szCs w:val="20"/>
        </w:rPr>
        <w:t xml:space="preserve"> In contrast to the Roman Catholic view, Calvin </w:t>
      </w:r>
      <w:r w:rsidRPr="00007BB1">
        <w:rPr>
          <w:rFonts w:ascii="Times New Roman" w:hAnsi="Times New Roman"/>
          <w:noProof/>
          <w:sz w:val="20"/>
          <w:szCs w:val="20"/>
          <w:highlight w:val="red"/>
        </w:rPr>
        <w:t>stressed the intention of the author and the Holy Spirit</w:t>
      </w:r>
      <w:r w:rsidRPr="005249AC">
        <w:rPr>
          <w:rFonts w:ascii="Times New Roman" w:hAnsi="Times New Roman"/>
          <w:noProof/>
          <w:sz w:val="20"/>
          <w:szCs w:val="20"/>
        </w:rPr>
        <w:t xml:space="preserve">. By using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he tried to reveal the mind of the author inspired by the Holy Spirit.</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Calvin pointed out several problems in the Roman Catholic interpretation of Scripture. He maintained that the Roman Catholic church </w:t>
      </w:r>
      <w:r w:rsidRPr="00007BB1">
        <w:rPr>
          <w:rFonts w:ascii="Times New Roman" w:hAnsi="Times New Roman"/>
          <w:noProof/>
          <w:color w:val="FF0000"/>
          <w:sz w:val="20"/>
          <w:szCs w:val="20"/>
        </w:rPr>
        <w:t>perverted the text for the purpose of establishing their doctrines</w:t>
      </w:r>
      <w:r w:rsidRPr="005249AC">
        <w:rPr>
          <w:rFonts w:ascii="Times New Roman" w:hAnsi="Times New Roman"/>
          <w:noProof/>
          <w:sz w:val="20"/>
          <w:szCs w:val="20"/>
        </w:rPr>
        <w:t>. "Papists pervert this passage, for the purpose of establishing the doctrine which they have contrived, without any authority from Scripture.</w:t>
      </w:r>
      <w:r w:rsidRPr="005249AC">
        <w:rPr>
          <w:rFonts w:ascii="Times New Roman" w:hAnsi="Times New Roman"/>
          <w:noProof/>
          <w:sz w:val="20"/>
          <w:szCs w:val="20"/>
        </w:rPr>
        <w:footnoteReference w:id="56"/>
      </w:r>
      <w:r w:rsidRPr="005249AC">
        <w:rPr>
          <w:rFonts w:ascii="Times New Roman" w:hAnsi="Times New Roman"/>
          <w:noProof/>
          <w:sz w:val="20"/>
          <w:szCs w:val="20"/>
        </w:rPr>
        <w:t>" According to him, the `Papists' forced the text into serving their doctrine of meritorious works</w:t>
      </w:r>
      <w:r w:rsidRPr="005249AC">
        <w:rPr>
          <w:rFonts w:ascii="Times New Roman" w:hAnsi="Times New Roman"/>
          <w:noProof/>
          <w:sz w:val="20"/>
          <w:szCs w:val="20"/>
        </w:rPr>
        <w:footnoteReference w:id="57"/>
      </w:r>
      <w:r w:rsidRPr="005249AC">
        <w:rPr>
          <w:rFonts w:ascii="Times New Roman" w:hAnsi="Times New Roman"/>
          <w:noProof/>
          <w:sz w:val="20"/>
          <w:szCs w:val="20"/>
        </w:rPr>
        <w:t>. In the interpretation of Gen. 22:15 "And the angel of the Lord called unto Abraham" Calvin argued that the Papists boldly seized this passage in order to prove that works were deserving of all the good things which God conferred upon us</w:t>
      </w:r>
      <w:r w:rsidRPr="005249AC">
        <w:rPr>
          <w:rFonts w:ascii="Times New Roman" w:hAnsi="Times New Roman"/>
          <w:noProof/>
          <w:sz w:val="20"/>
          <w:szCs w:val="20"/>
        </w:rPr>
        <w:footnoteReference w:id="58"/>
      </w:r>
      <w:r w:rsidRPr="005249AC">
        <w:rPr>
          <w:rFonts w:ascii="Times New Roman" w:hAnsi="Times New Roman"/>
          <w:noProof/>
          <w:sz w:val="20"/>
          <w:szCs w:val="20"/>
        </w:rPr>
        <w:t>. Calvin correctly pointed out that the Papists' dependence upon the translation of the Vulgate made them torture the text. "</w:t>
      </w:r>
      <w:r w:rsidRPr="005249AC">
        <w:rPr>
          <w:rFonts w:ascii="Times New Roman" w:hAnsi="Times New Roman"/>
          <w:i/>
          <w:iCs/>
          <w:noProof/>
          <w:sz w:val="20"/>
          <w:szCs w:val="20"/>
        </w:rPr>
        <w:t>Eddaddeh</w:t>
      </w:r>
      <w:r w:rsidRPr="005249AC">
        <w:rPr>
          <w:rFonts w:ascii="Times New Roman" w:hAnsi="Times New Roman"/>
          <w:noProof/>
          <w:sz w:val="20"/>
          <w:szCs w:val="20"/>
        </w:rPr>
        <w:t xml:space="preserve"> is translated by the Vulgate, `I will call to remembrance,' on which account this passage has been tortured by Papists to support auricular confession, but so absurdly that even old wives can laugh at it.</w:t>
      </w:r>
      <w:r w:rsidRPr="005249AC">
        <w:rPr>
          <w:rFonts w:ascii="Times New Roman" w:hAnsi="Times New Roman"/>
          <w:noProof/>
          <w:sz w:val="20"/>
          <w:szCs w:val="20"/>
        </w:rPr>
        <w:footnoteReference w:id="59"/>
      </w:r>
      <w:r w:rsidRPr="005249AC">
        <w:rPr>
          <w:rFonts w:ascii="Times New Roman" w:hAnsi="Times New Roman"/>
          <w:noProof/>
          <w:sz w:val="20"/>
          <w:szCs w:val="20"/>
        </w:rPr>
        <w:t>" Against the Roman Catholic interpreters' forcing the true sense of the text for establishing their own doctrine, Calvin stressed simplicity and avoided forced interpretation.</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In the interpretation of Luke 22:19 "This is my body for you" Calvin interpreted symbolically. Calvin </w:t>
      </w:r>
      <w:r w:rsidRPr="005249AC">
        <w:rPr>
          <w:rFonts w:ascii="Times New Roman" w:hAnsi="Times New Roman"/>
          <w:noProof/>
          <w:sz w:val="20"/>
          <w:szCs w:val="20"/>
        </w:rPr>
        <w:lastRenderedPageBreak/>
        <w:t>said, "the Lord appoints to us for a spiritual use an earthly and corruptible sign; which cannot take place, unless his command and promise are distinctly heard for the edification of faith.</w:t>
      </w:r>
      <w:r w:rsidRPr="005249AC">
        <w:rPr>
          <w:rFonts w:ascii="Times New Roman" w:hAnsi="Times New Roman"/>
          <w:noProof/>
          <w:sz w:val="20"/>
          <w:szCs w:val="20"/>
        </w:rPr>
        <w:footnoteReference w:id="60"/>
      </w:r>
      <w:r w:rsidRPr="005249AC">
        <w:rPr>
          <w:rFonts w:ascii="Times New Roman" w:hAnsi="Times New Roman"/>
          <w:noProof/>
          <w:sz w:val="20"/>
          <w:szCs w:val="20"/>
        </w:rPr>
        <w:t>" But Calvin rejected the doctrine of transubstantiation of the `Papists'. He criticized their interpretation of texts</w:t>
      </w:r>
      <w:r w:rsidRPr="005249AC">
        <w:rPr>
          <w:rFonts w:ascii="Times New Roman" w:hAnsi="Times New Roman"/>
          <w:noProof/>
          <w:sz w:val="20"/>
          <w:szCs w:val="20"/>
        </w:rPr>
        <w:footnoteReference w:id="61"/>
      </w:r>
      <w:r w:rsidRPr="005249AC">
        <w:rPr>
          <w:rFonts w:ascii="Times New Roman" w:hAnsi="Times New Roman"/>
          <w:noProof/>
          <w:sz w:val="20"/>
          <w:szCs w:val="20"/>
        </w:rPr>
        <w:t>. On the interpretation of Jn. 21:15 "Jesus saith to Simon Peter", Calvin argued that the Church of Rome `tortured' this passage to support the `tyranny of their Popery'</w:t>
      </w:r>
      <w:r w:rsidRPr="005249AC">
        <w:rPr>
          <w:rFonts w:ascii="Times New Roman" w:hAnsi="Times New Roman"/>
          <w:noProof/>
          <w:sz w:val="20"/>
          <w:szCs w:val="20"/>
        </w:rPr>
        <w:footnoteReference w:id="62"/>
      </w:r>
      <w:r w:rsidRPr="005249AC">
        <w:rPr>
          <w:rFonts w:ascii="Times New Roman" w:hAnsi="Times New Roman"/>
          <w:noProof/>
          <w:sz w:val="20"/>
          <w:szCs w:val="20"/>
        </w:rPr>
        <w:t>. Thus the Papists maintained that Peter held the highest rank, because he alone was specially addressed, granting that some special honour was conferred on him. Calvin pointed out that their view twisted the true meaning of the text in order to establish the primacy of the Pope</w:t>
      </w:r>
      <w:r w:rsidRPr="005249AC">
        <w:rPr>
          <w:rFonts w:ascii="Times New Roman" w:hAnsi="Times New Roman"/>
          <w:noProof/>
          <w:sz w:val="20"/>
          <w:szCs w:val="20"/>
        </w:rPr>
        <w:footnoteReference w:id="63"/>
      </w:r>
      <w:r w:rsidRPr="005249AC">
        <w:rPr>
          <w:rFonts w:ascii="Times New Roman" w:hAnsi="Times New Roman"/>
          <w:noProof/>
          <w:sz w:val="20"/>
          <w:szCs w:val="20"/>
        </w:rPr>
        <w:t xml:space="preserve">. Calvin thought that the true sense of the text could not be found by means of the method employed by the Roman Catholic interpreters.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maintained that the interpretation followed by the Church of Rome did not relate to the contexts of passages. In order to justify the doctrine of the Roman Catholic church, so Calvin explained, the `Papists' interpreted the passages with its traditions and dogmas. Thus this interpretation made the Church of Rome disregard the context of the text. For example, in the commentary on Gal. 2:15 "by the works of the law", Calvin remarked.</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As the Papists of the present day are uneasy when we </w:t>
      </w:r>
      <w:r w:rsidRPr="005249AC">
        <w:rPr>
          <w:rFonts w:ascii="Times New Roman" w:hAnsi="Times New Roman"/>
          <w:noProof/>
          <w:sz w:val="20"/>
          <w:szCs w:val="20"/>
        </w:rPr>
        <w:tab/>
        <w:t xml:space="preserve">extort from them the acknowledgement that men are </w:t>
      </w:r>
      <w:r w:rsidRPr="005249AC">
        <w:rPr>
          <w:rFonts w:ascii="Times New Roman" w:hAnsi="Times New Roman"/>
          <w:noProof/>
          <w:sz w:val="20"/>
          <w:szCs w:val="20"/>
        </w:rPr>
        <w:tab/>
        <w:t xml:space="preserve">justified by faith alone, they reluctantly admit that </w:t>
      </w:r>
      <w:r w:rsidRPr="005249AC">
        <w:rPr>
          <w:rFonts w:ascii="Times New Roman" w:hAnsi="Times New Roman"/>
          <w:noProof/>
          <w:sz w:val="20"/>
          <w:szCs w:val="20"/>
        </w:rPr>
        <w:tab/>
        <w:t xml:space="preserve">"the works of the law" include those of a moral nature. </w:t>
      </w:r>
      <w:r w:rsidRPr="005249AC">
        <w:rPr>
          <w:rFonts w:ascii="Times New Roman" w:hAnsi="Times New Roman"/>
          <w:noProof/>
          <w:sz w:val="20"/>
          <w:szCs w:val="20"/>
        </w:rPr>
        <w:tab/>
        <w:t xml:space="preserve">Many of them, however, by quoting Jerome's gloss, imagine </w:t>
      </w:r>
      <w:r w:rsidRPr="005249AC">
        <w:rPr>
          <w:rFonts w:ascii="Times New Roman" w:hAnsi="Times New Roman"/>
          <w:noProof/>
          <w:sz w:val="20"/>
          <w:szCs w:val="20"/>
        </w:rPr>
        <w:tab/>
        <w:t xml:space="preserve">that they have made a good defence; but the context will </w:t>
      </w:r>
      <w:r w:rsidRPr="005249AC">
        <w:rPr>
          <w:rFonts w:ascii="Times New Roman" w:hAnsi="Times New Roman"/>
          <w:noProof/>
          <w:sz w:val="20"/>
          <w:szCs w:val="20"/>
        </w:rPr>
        <w:tab/>
        <w:t>show that the words relate also to the moral law</w:t>
      </w:r>
      <w:r w:rsidRPr="005249AC">
        <w:rPr>
          <w:rFonts w:ascii="Times New Roman" w:hAnsi="Times New Roman"/>
          <w:noProof/>
          <w:sz w:val="20"/>
          <w:szCs w:val="20"/>
        </w:rPr>
        <w:footnoteReference w:id="64"/>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Here Calvin argued that an interpreter should employ the principle of suitability by considering the context of a passage. Calvin maintained that the interpretation of the `Papists' did not reveal the intention of the author because they endeavored to establish `the merit and righteousness of good works'</w:t>
      </w:r>
      <w:r w:rsidRPr="005249AC">
        <w:rPr>
          <w:rFonts w:ascii="Times New Roman" w:hAnsi="Times New Roman"/>
          <w:noProof/>
          <w:sz w:val="20"/>
          <w:szCs w:val="20"/>
        </w:rPr>
        <w:footnoteReference w:id="65"/>
      </w:r>
      <w:r w:rsidRPr="005249AC">
        <w:rPr>
          <w:rFonts w:ascii="Times New Roman" w:hAnsi="Times New Roman"/>
          <w:noProof/>
          <w:sz w:val="20"/>
          <w:szCs w:val="20"/>
        </w:rPr>
        <w:t xml:space="preserve">. By employing the </w:t>
      </w:r>
      <w:r w:rsidRPr="005249AC">
        <w:rPr>
          <w:rFonts w:ascii="Times New Roman" w:hAnsi="Times New Roman"/>
          <w:noProof/>
          <w:sz w:val="20"/>
          <w:szCs w:val="20"/>
        </w:rPr>
        <w:lastRenderedPageBreak/>
        <w:t xml:space="preserve">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Calvin did his best to discover the intention of the author (</w:t>
      </w:r>
      <w:r w:rsidRPr="005249AC">
        <w:rPr>
          <w:rFonts w:ascii="Times New Roman" w:hAnsi="Times New Roman"/>
          <w:i/>
          <w:iCs/>
          <w:noProof/>
          <w:sz w:val="20"/>
          <w:szCs w:val="20"/>
        </w:rPr>
        <w:t>mentem scriptoris</w:t>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p>
    <w:p w:rsidR="00F84A76" w:rsidRPr="005249AC" w:rsidRDefault="00F84A76" w:rsidP="00F84A76">
      <w:pPr>
        <w:spacing w:line="480" w:lineRule="auto"/>
        <w:ind w:firstLine="3600"/>
        <w:rPr>
          <w:rFonts w:ascii="Times New Roman" w:hAnsi="Times New Roman"/>
          <w:noProof/>
          <w:sz w:val="20"/>
          <w:szCs w:val="20"/>
        </w:rPr>
      </w:pPr>
      <w:r w:rsidRPr="005249AC">
        <w:rPr>
          <w:rFonts w:ascii="Times New Roman" w:hAnsi="Times New Roman"/>
          <w:noProof/>
          <w:sz w:val="20"/>
          <w:szCs w:val="20"/>
        </w:rPr>
        <w:t>F. The Jews</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From Philo in Alexandria (c. 25 BC-40 AD) to Rabbi Solomon</w:t>
      </w:r>
      <w:r w:rsidR="00007BB1">
        <w:rPr>
          <w:rStyle w:val="a3"/>
          <w:rFonts w:ascii="Times New Roman" w:hAnsi="Times New Roman"/>
          <w:noProof/>
          <w:sz w:val="20"/>
          <w:szCs w:val="20"/>
        </w:rPr>
        <w:footnoteReference w:id="66"/>
      </w:r>
      <w:r w:rsidRPr="005249AC">
        <w:rPr>
          <w:rFonts w:ascii="Times New Roman" w:hAnsi="Times New Roman"/>
          <w:noProof/>
          <w:sz w:val="20"/>
          <w:szCs w:val="20"/>
        </w:rPr>
        <w:t xml:space="preserve"> and David Kimchi</w:t>
      </w:r>
      <w:r w:rsidR="00007BB1">
        <w:rPr>
          <w:rStyle w:val="a3"/>
          <w:rFonts w:ascii="Times New Roman" w:hAnsi="Times New Roman"/>
          <w:noProof/>
          <w:sz w:val="20"/>
          <w:szCs w:val="20"/>
        </w:rPr>
        <w:footnoteReference w:id="67"/>
      </w:r>
      <w:r w:rsidRPr="005249AC">
        <w:rPr>
          <w:rFonts w:ascii="Times New Roman" w:hAnsi="Times New Roman"/>
          <w:noProof/>
          <w:sz w:val="20"/>
          <w:szCs w:val="20"/>
        </w:rPr>
        <w:t xml:space="preserve"> in the Middle Ages, the Jewish interpreters had a great influence upon many Christian interpreters in the understanding of the Old Testament. However many Protestant interpreters, with their emphasis upon the continuity and the authority of both the Old and New Testaments, were in conflict with them. For example, one of the major arguments was to deal with the proper interpretation of the fulfillment of prophecy in the Old Testament.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I now turn to investigate Calvin's attitude toward the Jews and his assessment of the Jewish hermeneutics. Calvin's general view of the Jewish interpreters was negative. Calvin attacked them often in his Old Testament commentaries.</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frequently used rabbinic commentaries and mentioned the Jewish interpretation</w:t>
      </w:r>
      <w:r w:rsidRPr="005249AC">
        <w:rPr>
          <w:rFonts w:ascii="Times New Roman" w:hAnsi="Times New Roman"/>
          <w:noProof/>
          <w:sz w:val="20"/>
          <w:szCs w:val="20"/>
        </w:rPr>
        <w:footnoteReference w:id="68"/>
      </w:r>
      <w:r w:rsidRPr="005249AC">
        <w:rPr>
          <w:rFonts w:ascii="Times New Roman" w:hAnsi="Times New Roman"/>
          <w:noProof/>
          <w:sz w:val="20"/>
          <w:szCs w:val="20"/>
        </w:rPr>
        <w:t>. But Calvin referred to them not by name but collectively</w:t>
      </w:r>
      <w:r w:rsidRPr="005249AC">
        <w:rPr>
          <w:rFonts w:ascii="Times New Roman" w:hAnsi="Times New Roman"/>
          <w:noProof/>
          <w:sz w:val="20"/>
          <w:szCs w:val="20"/>
        </w:rPr>
        <w:footnoteReference w:id="69"/>
      </w:r>
      <w:r w:rsidRPr="005249AC">
        <w:rPr>
          <w:rFonts w:ascii="Times New Roman" w:hAnsi="Times New Roman"/>
          <w:noProof/>
          <w:sz w:val="20"/>
          <w:szCs w:val="20"/>
        </w:rPr>
        <w:t>. He called them `the Rabbins'</w:t>
      </w:r>
      <w:r w:rsidRPr="005249AC">
        <w:rPr>
          <w:rFonts w:ascii="Times New Roman" w:hAnsi="Times New Roman"/>
          <w:noProof/>
          <w:sz w:val="20"/>
          <w:szCs w:val="20"/>
        </w:rPr>
        <w:footnoteReference w:id="70"/>
      </w:r>
      <w:r w:rsidRPr="005249AC">
        <w:rPr>
          <w:rFonts w:ascii="Times New Roman" w:hAnsi="Times New Roman"/>
          <w:noProof/>
          <w:sz w:val="20"/>
          <w:szCs w:val="20"/>
        </w:rPr>
        <w:t>, or `the Hebrews'</w:t>
      </w:r>
      <w:r w:rsidRPr="005249AC">
        <w:rPr>
          <w:rFonts w:ascii="Times New Roman" w:hAnsi="Times New Roman"/>
          <w:noProof/>
          <w:sz w:val="20"/>
          <w:szCs w:val="20"/>
        </w:rPr>
        <w:footnoteReference w:id="71"/>
      </w:r>
      <w:r w:rsidRPr="005249AC">
        <w:rPr>
          <w:rFonts w:ascii="Times New Roman" w:hAnsi="Times New Roman"/>
          <w:noProof/>
          <w:sz w:val="20"/>
          <w:szCs w:val="20"/>
        </w:rPr>
        <w:t>, or `the Hebrew interpreters'</w:t>
      </w:r>
      <w:r w:rsidRPr="005249AC">
        <w:rPr>
          <w:rFonts w:ascii="Times New Roman" w:hAnsi="Times New Roman"/>
          <w:noProof/>
          <w:sz w:val="20"/>
          <w:szCs w:val="20"/>
        </w:rPr>
        <w:footnoteReference w:id="72"/>
      </w:r>
      <w:r w:rsidRPr="005249AC">
        <w:rPr>
          <w:rFonts w:ascii="Times New Roman" w:hAnsi="Times New Roman"/>
          <w:noProof/>
          <w:sz w:val="20"/>
          <w:szCs w:val="20"/>
        </w:rPr>
        <w:t>. Calvin referred to many Jewish authors in this fashion: the Targum of Jonathan</w:t>
      </w:r>
      <w:r w:rsidRPr="005249AC">
        <w:rPr>
          <w:rFonts w:ascii="Times New Roman" w:hAnsi="Times New Roman"/>
          <w:noProof/>
          <w:sz w:val="20"/>
          <w:szCs w:val="20"/>
        </w:rPr>
        <w:footnoteReference w:id="73"/>
      </w:r>
      <w:r w:rsidRPr="005249AC">
        <w:rPr>
          <w:rFonts w:ascii="Times New Roman" w:hAnsi="Times New Roman"/>
          <w:noProof/>
          <w:sz w:val="20"/>
          <w:szCs w:val="20"/>
        </w:rPr>
        <w:t xml:space="preserve">, the </w:t>
      </w:r>
      <w:r w:rsidRPr="005249AC">
        <w:rPr>
          <w:rFonts w:ascii="Times New Roman" w:hAnsi="Times New Roman"/>
          <w:noProof/>
          <w:sz w:val="20"/>
          <w:szCs w:val="20"/>
        </w:rPr>
        <w:lastRenderedPageBreak/>
        <w:t>Chaldee Paraphrast (the Chaldean Targum)</w:t>
      </w:r>
      <w:r w:rsidRPr="005249AC">
        <w:rPr>
          <w:rFonts w:ascii="Times New Roman" w:hAnsi="Times New Roman"/>
          <w:noProof/>
          <w:sz w:val="20"/>
          <w:szCs w:val="20"/>
        </w:rPr>
        <w:footnoteReference w:id="74"/>
      </w:r>
      <w:r w:rsidRPr="005249AC">
        <w:rPr>
          <w:rFonts w:ascii="Times New Roman" w:hAnsi="Times New Roman"/>
          <w:noProof/>
          <w:sz w:val="20"/>
          <w:szCs w:val="20"/>
        </w:rPr>
        <w:t>, Zaadias (Saadia Gaon)</w:t>
      </w:r>
      <w:r w:rsidRPr="005249AC">
        <w:rPr>
          <w:rFonts w:ascii="Times New Roman" w:hAnsi="Times New Roman"/>
          <w:noProof/>
          <w:sz w:val="20"/>
          <w:szCs w:val="20"/>
        </w:rPr>
        <w:footnoteReference w:id="75"/>
      </w:r>
      <w:r w:rsidRPr="005249AC">
        <w:rPr>
          <w:rFonts w:ascii="Times New Roman" w:hAnsi="Times New Roman"/>
          <w:noProof/>
          <w:sz w:val="20"/>
          <w:szCs w:val="20"/>
        </w:rPr>
        <w:t>, Rabbi Barbinel (Isaac Abarbanel)</w:t>
      </w:r>
      <w:r w:rsidRPr="005249AC">
        <w:rPr>
          <w:rFonts w:ascii="Times New Roman" w:hAnsi="Times New Roman"/>
          <w:noProof/>
          <w:sz w:val="20"/>
          <w:szCs w:val="20"/>
        </w:rPr>
        <w:footnoteReference w:id="76"/>
      </w:r>
      <w:r w:rsidRPr="005249AC">
        <w:rPr>
          <w:rFonts w:ascii="Times New Roman" w:hAnsi="Times New Roman"/>
          <w:noProof/>
          <w:sz w:val="20"/>
          <w:szCs w:val="20"/>
        </w:rPr>
        <w:t>, and David Kimchi</w:t>
      </w:r>
      <w:r w:rsidRPr="005249AC">
        <w:rPr>
          <w:rFonts w:ascii="Times New Roman" w:hAnsi="Times New Roman"/>
          <w:noProof/>
          <w:sz w:val="20"/>
          <w:szCs w:val="20"/>
        </w:rPr>
        <w:footnoteReference w:id="77"/>
      </w:r>
      <w:r w:rsidRPr="005249AC">
        <w:rPr>
          <w:rFonts w:ascii="Times New Roman" w:hAnsi="Times New Roman"/>
          <w:noProof/>
          <w:sz w:val="20"/>
          <w:szCs w:val="20"/>
        </w:rPr>
        <w:t xml:space="preserve">.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Calvin recognized Jewish commentaries as being </w:t>
      </w:r>
      <w:r w:rsidRPr="00313F58">
        <w:rPr>
          <w:rFonts w:ascii="Times New Roman" w:hAnsi="Times New Roman"/>
          <w:noProof/>
          <w:color w:val="FF0000"/>
          <w:sz w:val="20"/>
          <w:szCs w:val="20"/>
        </w:rPr>
        <w:t>useful for the understanding of Hebrew grammar and words</w:t>
      </w:r>
      <w:r w:rsidRPr="005249AC">
        <w:rPr>
          <w:rFonts w:ascii="Times New Roman" w:hAnsi="Times New Roman"/>
          <w:noProof/>
          <w:sz w:val="20"/>
          <w:szCs w:val="20"/>
        </w:rPr>
        <w:footnoteReference w:id="78"/>
      </w:r>
      <w:r w:rsidRPr="005249AC">
        <w:rPr>
          <w:rFonts w:ascii="Times New Roman" w:hAnsi="Times New Roman"/>
          <w:noProof/>
          <w:sz w:val="20"/>
          <w:szCs w:val="20"/>
        </w:rPr>
        <w:t>. But Calvin's general attitude toward the Jewish interpreters was critical</w:t>
      </w:r>
      <w:r w:rsidRPr="005249AC">
        <w:rPr>
          <w:rFonts w:ascii="Times New Roman" w:hAnsi="Times New Roman"/>
          <w:noProof/>
          <w:sz w:val="20"/>
          <w:szCs w:val="20"/>
        </w:rPr>
        <w:footnoteReference w:id="79"/>
      </w:r>
      <w:r w:rsidRPr="005249AC">
        <w:rPr>
          <w:rFonts w:ascii="Times New Roman" w:hAnsi="Times New Roman"/>
          <w:noProof/>
          <w:sz w:val="20"/>
          <w:szCs w:val="20"/>
        </w:rPr>
        <w:t>.</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Calvin demonstrated that </w:t>
      </w:r>
      <w:r w:rsidRPr="00313F58">
        <w:rPr>
          <w:rFonts w:ascii="Times New Roman" w:hAnsi="Times New Roman"/>
          <w:noProof/>
          <w:color w:val="FF0000"/>
          <w:sz w:val="20"/>
          <w:szCs w:val="20"/>
        </w:rPr>
        <w:t>the Jewish interpreters twisted the true meaning of the text</w:t>
      </w:r>
      <w:r w:rsidRPr="005249AC">
        <w:rPr>
          <w:rFonts w:ascii="Times New Roman" w:hAnsi="Times New Roman"/>
          <w:noProof/>
          <w:sz w:val="20"/>
          <w:szCs w:val="20"/>
        </w:rPr>
        <w:t xml:space="preserve">. Calvin believed that </w:t>
      </w:r>
      <w:r w:rsidRPr="00313F58">
        <w:rPr>
          <w:rFonts w:ascii="Times New Roman" w:hAnsi="Times New Roman"/>
          <w:noProof/>
          <w:color w:val="FF0000"/>
          <w:sz w:val="20"/>
          <w:szCs w:val="20"/>
        </w:rPr>
        <w:t>all of Scripture did bear a witness to Christ Jesus as its goal.</w:t>
      </w:r>
      <w:r w:rsidRPr="005249AC">
        <w:rPr>
          <w:rFonts w:ascii="Times New Roman" w:hAnsi="Times New Roman"/>
          <w:noProof/>
          <w:sz w:val="20"/>
          <w:szCs w:val="20"/>
        </w:rPr>
        <w:t xml:space="preserve"> In John 5:39 Jesus said that the Scriptures testified about him. But in Calvin's view, the Jewish interpreters `tortured' the proper christological meaning of texts because of their unbelief and wilful refusal to recognize Jesus as the Christ. "We must not be surprised at the shameful ignorance of these Rabbins, and at their blundering at the very rudiments, since they do not acknowledge the necessity for a Mediator.</w:t>
      </w:r>
      <w:r w:rsidRPr="005249AC">
        <w:rPr>
          <w:rFonts w:ascii="Times New Roman" w:hAnsi="Times New Roman"/>
          <w:noProof/>
          <w:sz w:val="20"/>
          <w:szCs w:val="20"/>
        </w:rPr>
        <w:footnoteReference w:id="80"/>
      </w:r>
      <w:r w:rsidRPr="005249AC">
        <w:rPr>
          <w:rFonts w:ascii="Times New Roman" w:hAnsi="Times New Roman"/>
          <w:noProof/>
          <w:sz w:val="20"/>
          <w:szCs w:val="20"/>
        </w:rPr>
        <w:t xml:space="preserve">" The problems of the </w:t>
      </w:r>
      <w:r w:rsidRPr="00313F58">
        <w:rPr>
          <w:rFonts w:ascii="Times New Roman" w:hAnsi="Times New Roman"/>
          <w:noProof/>
          <w:sz w:val="20"/>
          <w:szCs w:val="20"/>
          <w:highlight w:val="red"/>
        </w:rPr>
        <w:t>Jewish hermeneutics resulted, in his view, from their failure to acknowledge the christological orientation of Scripture</w:t>
      </w:r>
      <w:r w:rsidRPr="005249AC">
        <w:rPr>
          <w:rFonts w:ascii="Times New Roman" w:hAnsi="Times New Roman"/>
          <w:noProof/>
          <w:sz w:val="20"/>
          <w:szCs w:val="20"/>
        </w:rPr>
        <w:footnoteReference w:id="81"/>
      </w:r>
      <w:r w:rsidRPr="005249AC">
        <w:rPr>
          <w:rFonts w:ascii="Times New Roman" w:hAnsi="Times New Roman"/>
          <w:noProof/>
          <w:sz w:val="20"/>
          <w:szCs w:val="20"/>
        </w:rPr>
        <w:t>. Calvin maintained that they purposely wanted to pervert the text relating to Christ.</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lastRenderedPageBreak/>
        <w:t xml:space="preserve">The rabbis confound the two monarchies, through their </w:t>
      </w:r>
      <w:r w:rsidRPr="005249AC">
        <w:rPr>
          <w:rFonts w:ascii="Times New Roman" w:hAnsi="Times New Roman"/>
          <w:noProof/>
          <w:sz w:val="20"/>
          <w:szCs w:val="20"/>
        </w:rPr>
        <w:tab/>
        <w:t xml:space="preserve">desire to comprehend under the second what they call the </w:t>
      </w:r>
      <w:r w:rsidRPr="005249AC">
        <w:rPr>
          <w:rFonts w:ascii="Times New Roman" w:hAnsi="Times New Roman"/>
          <w:noProof/>
          <w:sz w:val="20"/>
          <w:szCs w:val="20"/>
        </w:rPr>
        <w:tab/>
        <w:t xml:space="preserve">kingdom of the Greeks; but they display the grossest </w:t>
      </w:r>
      <w:r w:rsidRPr="005249AC">
        <w:rPr>
          <w:rFonts w:ascii="Times New Roman" w:hAnsi="Times New Roman"/>
          <w:noProof/>
          <w:sz w:val="20"/>
          <w:szCs w:val="20"/>
        </w:rPr>
        <w:tab/>
        <w:t xml:space="preserve">ignorance and dishonesty. For they do not err through </w:t>
      </w:r>
      <w:r w:rsidRPr="005249AC">
        <w:rPr>
          <w:rFonts w:ascii="Times New Roman" w:hAnsi="Times New Roman"/>
          <w:noProof/>
          <w:sz w:val="20"/>
          <w:szCs w:val="20"/>
        </w:rPr>
        <w:tab/>
        <w:t xml:space="preserve">simple ignorance, but they purposely desire to overthrow </w:t>
      </w:r>
      <w:r w:rsidRPr="005249AC">
        <w:rPr>
          <w:rFonts w:ascii="Times New Roman" w:hAnsi="Times New Roman"/>
          <w:noProof/>
          <w:sz w:val="20"/>
          <w:szCs w:val="20"/>
        </w:rPr>
        <w:tab/>
        <w:t xml:space="preserve">what Scripture here states clearly concerning the advent </w:t>
      </w:r>
      <w:r w:rsidRPr="005249AC">
        <w:rPr>
          <w:rFonts w:ascii="Times New Roman" w:hAnsi="Times New Roman"/>
          <w:noProof/>
          <w:sz w:val="20"/>
          <w:szCs w:val="20"/>
        </w:rPr>
        <w:tab/>
        <w:t xml:space="preserve">of Christ. Hence they are not ashamed to mingle and </w:t>
      </w:r>
      <w:r w:rsidRPr="005249AC">
        <w:rPr>
          <w:rFonts w:ascii="Times New Roman" w:hAnsi="Times New Roman"/>
          <w:noProof/>
          <w:sz w:val="20"/>
          <w:szCs w:val="20"/>
        </w:rPr>
        <w:tab/>
        <w:t xml:space="preserve">confuse history, and to pronounce carelessly on subjects </w:t>
      </w:r>
      <w:r w:rsidRPr="005249AC">
        <w:rPr>
          <w:rFonts w:ascii="Times New Roman" w:hAnsi="Times New Roman"/>
          <w:noProof/>
          <w:sz w:val="20"/>
          <w:szCs w:val="20"/>
        </w:rPr>
        <w:tab/>
        <w:t>unknown to them</w:t>
      </w:r>
      <w:r w:rsidRPr="005249AC">
        <w:rPr>
          <w:rFonts w:ascii="Times New Roman" w:hAnsi="Times New Roman"/>
          <w:noProof/>
          <w:sz w:val="20"/>
          <w:szCs w:val="20"/>
        </w:rPr>
        <w:footnoteReference w:id="82"/>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In the interpretation of texts on the coming of the Messiah, Calvin attempted to show that the Jewish interpreters purposely denied the christological sense of the text. In the interpretation of Hos. 6:2 "After two days will he revive us: in the third day he will raise us up, and we shall live in his sight", Calvin stated, "This place the Hebrew writers pervert, for they think that they are yet to be redeemed by the coming of the Messiah; and they imagine that this will be the third day. . . . Notwithstanding, this place is usually referred to Christ.</w:t>
      </w:r>
      <w:r w:rsidRPr="005249AC">
        <w:rPr>
          <w:rFonts w:ascii="Times New Roman" w:hAnsi="Times New Roman"/>
          <w:noProof/>
          <w:sz w:val="20"/>
          <w:szCs w:val="20"/>
        </w:rPr>
        <w:footnoteReference w:id="83"/>
      </w:r>
      <w:r w:rsidRPr="005249AC">
        <w:rPr>
          <w:rFonts w:ascii="Times New Roman" w:hAnsi="Times New Roman"/>
          <w:noProof/>
          <w:sz w:val="20"/>
          <w:szCs w:val="20"/>
        </w:rPr>
        <w:t>" Calvin observed that the Jews did not treat this prophecy as relating to the final day of Christ's advent</w:t>
      </w:r>
      <w:r w:rsidRPr="005249AC">
        <w:rPr>
          <w:rFonts w:ascii="Times New Roman" w:hAnsi="Times New Roman"/>
          <w:noProof/>
          <w:sz w:val="20"/>
          <w:szCs w:val="20"/>
        </w:rPr>
        <w:footnoteReference w:id="84"/>
      </w:r>
      <w:r w:rsidRPr="005249AC">
        <w:rPr>
          <w:rFonts w:ascii="Times New Roman" w:hAnsi="Times New Roman"/>
          <w:noProof/>
          <w:sz w:val="20"/>
          <w:szCs w:val="20"/>
        </w:rPr>
        <w:t>. Calvin's opinion was that the Jewish interpreters perverted the true exposition and tortured the Prophets' meaning. In the interpretation of Isa. 7:14 "Behold, a virgin shall conceive", Calvin mentioned that the Jews rejected the christological meaning of the passage.</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This passage is obscure; but the blame lies partly on </w:t>
      </w:r>
      <w:r w:rsidRPr="005249AC">
        <w:rPr>
          <w:rFonts w:ascii="Times New Roman" w:hAnsi="Times New Roman"/>
          <w:noProof/>
          <w:sz w:val="20"/>
          <w:szCs w:val="20"/>
        </w:rPr>
        <w:tab/>
        <w:t xml:space="preserve">the Jews, who by much cavilling, have laboured, as far as </w:t>
      </w:r>
      <w:r w:rsidRPr="005249AC">
        <w:rPr>
          <w:rFonts w:ascii="Times New Roman" w:hAnsi="Times New Roman"/>
          <w:noProof/>
          <w:sz w:val="20"/>
          <w:szCs w:val="20"/>
        </w:rPr>
        <w:tab/>
        <w:t xml:space="preserve">lay in their power, to pervert the true exposition. They </w:t>
      </w:r>
      <w:r w:rsidRPr="005249AC">
        <w:rPr>
          <w:rFonts w:ascii="Times New Roman" w:hAnsi="Times New Roman"/>
          <w:noProof/>
          <w:sz w:val="20"/>
          <w:szCs w:val="20"/>
        </w:rPr>
        <w:tab/>
        <w:t xml:space="preserve">are hard pressed by this passage; for it contains an </w:t>
      </w:r>
      <w:r w:rsidRPr="005249AC">
        <w:rPr>
          <w:rFonts w:ascii="Times New Roman" w:hAnsi="Times New Roman"/>
          <w:noProof/>
          <w:sz w:val="20"/>
          <w:szCs w:val="20"/>
        </w:rPr>
        <w:tab/>
        <w:t xml:space="preserve">illustrious prediction concerning the Messiah, who is </w:t>
      </w:r>
      <w:r w:rsidRPr="005249AC">
        <w:rPr>
          <w:rFonts w:ascii="Times New Roman" w:hAnsi="Times New Roman"/>
          <w:noProof/>
          <w:sz w:val="20"/>
          <w:szCs w:val="20"/>
        </w:rPr>
        <w:tab/>
        <w:t xml:space="preserve">here called Immanuel; and therefore they have laboured, </w:t>
      </w:r>
      <w:r w:rsidRPr="005249AC">
        <w:rPr>
          <w:rFonts w:ascii="Times New Roman" w:hAnsi="Times New Roman"/>
          <w:noProof/>
          <w:sz w:val="20"/>
          <w:szCs w:val="20"/>
        </w:rPr>
        <w:tab/>
        <w:t xml:space="preserve">by all possible means, to torture the Prophet's meaning </w:t>
      </w:r>
      <w:r w:rsidRPr="005249AC">
        <w:rPr>
          <w:rFonts w:ascii="Times New Roman" w:hAnsi="Times New Roman"/>
          <w:noProof/>
          <w:sz w:val="20"/>
          <w:szCs w:val="20"/>
        </w:rPr>
        <w:tab/>
        <w:t>to another sense</w:t>
      </w:r>
      <w:r w:rsidRPr="005249AC">
        <w:rPr>
          <w:rFonts w:ascii="Times New Roman" w:hAnsi="Times New Roman"/>
          <w:noProof/>
          <w:sz w:val="20"/>
          <w:szCs w:val="20"/>
        </w:rPr>
        <w:footnoteReference w:id="85"/>
      </w:r>
      <w:r w:rsidRPr="005249AC">
        <w:rPr>
          <w:rFonts w:ascii="Times New Roman" w:hAnsi="Times New Roman"/>
          <w:noProof/>
          <w:sz w:val="20"/>
          <w:szCs w:val="20"/>
        </w:rPr>
        <w:t>.</w:t>
      </w:r>
    </w:p>
    <w:p w:rsidR="00F84A76" w:rsidRPr="005249AC" w:rsidRDefault="00F84A76" w:rsidP="00F84A76">
      <w:pPr>
        <w:tabs>
          <w:tab w:val="left" w:pos="-1440"/>
        </w:tabs>
        <w:spacing w:line="480" w:lineRule="auto"/>
        <w:ind w:firstLine="720"/>
        <w:rPr>
          <w:rFonts w:ascii="Times New Roman" w:hAnsi="Times New Roman"/>
          <w:noProof/>
          <w:sz w:val="20"/>
          <w:szCs w:val="20"/>
        </w:rPr>
      </w:pPr>
      <w:r w:rsidRPr="005249AC">
        <w:rPr>
          <w:rFonts w:ascii="Times New Roman" w:hAnsi="Times New Roman"/>
          <w:noProof/>
          <w:sz w:val="20"/>
          <w:szCs w:val="20"/>
        </w:rPr>
        <w:t>Calvin argued that the Jewish commentators twisted the true meaning of the text `in order to ascribe to the glory of their own nation and to boast their own privileges'</w:t>
      </w:r>
      <w:r w:rsidRPr="005249AC">
        <w:rPr>
          <w:rFonts w:ascii="Times New Roman" w:hAnsi="Times New Roman"/>
          <w:noProof/>
          <w:sz w:val="20"/>
          <w:szCs w:val="20"/>
        </w:rPr>
        <w:footnoteReference w:id="86"/>
      </w:r>
      <w:r w:rsidRPr="005249AC">
        <w:rPr>
          <w:rFonts w:ascii="Times New Roman" w:hAnsi="Times New Roman"/>
          <w:noProof/>
          <w:sz w:val="20"/>
          <w:szCs w:val="20"/>
        </w:rPr>
        <w:t xml:space="preserve">. Their `boasting privileges' appeared in their </w:t>
      </w:r>
      <w:r w:rsidRPr="005249AC">
        <w:rPr>
          <w:rFonts w:ascii="Times New Roman" w:hAnsi="Times New Roman"/>
          <w:noProof/>
          <w:sz w:val="20"/>
          <w:szCs w:val="20"/>
        </w:rPr>
        <w:lastRenderedPageBreak/>
        <w:t>forced interpretation of Jos. 2:1 "They came into a harlot's house". Here the Jewish interpreters considered the name harlot to mean one who kept an inn. Concerning this interpretation, Calvin argued that the Rabbis presumptuously wrested Scripture and gave it a different turn for the honour of their nation</w:t>
      </w:r>
      <w:r w:rsidRPr="005249AC">
        <w:rPr>
          <w:rFonts w:ascii="Times New Roman" w:hAnsi="Times New Roman"/>
          <w:noProof/>
          <w:sz w:val="20"/>
          <w:szCs w:val="20"/>
        </w:rPr>
        <w:footnoteReference w:id="87"/>
      </w:r>
      <w:r w:rsidRPr="005249AC">
        <w:rPr>
          <w:rFonts w:ascii="Times New Roman" w:hAnsi="Times New Roman"/>
          <w:noProof/>
          <w:sz w:val="20"/>
          <w:szCs w:val="20"/>
        </w:rPr>
        <w:t xml:space="preserve">.  </w:t>
      </w:r>
      <w:r w:rsidRPr="005249AC">
        <w:rPr>
          <w:rFonts w:ascii="Times New Roman" w:hAnsi="Times New Roman"/>
          <w:noProof/>
          <w:sz w:val="20"/>
          <w:szCs w:val="20"/>
        </w:rPr>
        <w:tab/>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indicated that the Jewish interpreters perverted the simple meaning of the text and obscured the plain truth of Scripture</w:t>
      </w:r>
      <w:r w:rsidRPr="005249AC">
        <w:rPr>
          <w:rFonts w:ascii="Times New Roman" w:hAnsi="Times New Roman"/>
          <w:noProof/>
          <w:sz w:val="20"/>
          <w:szCs w:val="20"/>
        </w:rPr>
        <w:footnoteReference w:id="88"/>
      </w:r>
      <w:r w:rsidRPr="005249AC">
        <w:rPr>
          <w:rFonts w:ascii="Times New Roman" w:hAnsi="Times New Roman"/>
          <w:noProof/>
          <w:sz w:val="20"/>
          <w:szCs w:val="20"/>
        </w:rPr>
        <w:t>. In doing so their interpretation was suited to their own interests</w:t>
      </w:r>
      <w:r w:rsidRPr="005249AC">
        <w:rPr>
          <w:rFonts w:ascii="Times New Roman" w:hAnsi="Times New Roman"/>
          <w:noProof/>
          <w:sz w:val="20"/>
          <w:szCs w:val="20"/>
        </w:rPr>
        <w:footnoteReference w:id="89"/>
      </w:r>
      <w:r w:rsidRPr="005249AC">
        <w:rPr>
          <w:rFonts w:ascii="Times New Roman" w:hAnsi="Times New Roman"/>
          <w:noProof/>
          <w:sz w:val="20"/>
          <w:szCs w:val="20"/>
        </w:rPr>
        <w:t>. They perverted and obscured the meaning of the text by `the most chilling comments'</w:t>
      </w:r>
      <w:r w:rsidRPr="005249AC">
        <w:rPr>
          <w:rFonts w:ascii="Times New Roman" w:hAnsi="Times New Roman"/>
          <w:noProof/>
          <w:sz w:val="20"/>
          <w:szCs w:val="20"/>
        </w:rPr>
        <w:footnoteReference w:id="90"/>
      </w:r>
      <w:r w:rsidRPr="005249AC">
        <w:rPr>
          <w:rFonts w:ascii="Times New Roman" w:hAnsi="Times New Roman"/>
          <w:noProof/>
          <w:sz w:val="20"/>
          <w:szCs w:val="20"/>
        </w:rPr>
        <w:t xml:space="preserve">. Here Calvin employed the principle of the avoidance of forced interpretation, one of the most important elements of the ideal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The Jewish interpreters did not show the simple and true sense of the text of Scripture because they did not have the correct view of Messiah.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 Calvin often pointed out that many of the Jewish </w:t>
      </w:r>
      <w:r w:rsidRPr="00313F58">
        <w:rPr>
          <w:rFonts w:ascii="Times New Roman" w:hAnsi="Times New Roman"/>
          <w:noProof/>
          <w:color w:val="FF0000"/>
          <w:sz w:val="20"/>
          <w:szCs w:val="20"/>
        </w:rPr>
        <w:t>expositors did not reveal the real intention of the author</w:t>
      </w:r>
      <w:r w:rsidRPr="005249AC">
        <w:rPr>
          <w:rFonts w:ascii="Times New Roman" w:hAnsi="Times New Roman"/>
          <w:noProof/>
          <w:sz w:val="20"/>
          <w:szCs w:val="20"/>
        </w:rPr>
        <w:footnoteReference w:id="91"/>
      </w:r>
      <w:r w:rsidRPr="005249AC">
        <w:rPr>
          <w:rFonts w:ascii="Times New Roman" w:hAnsi="Times New Roman"/>
          <w:noProof/>
          <w:sz w:val="20"/>
          <w:szCs w:val="20"/>
        </w:rPr>
        <w:t>. An example can be found in his commentary on Isaiah 54:2. "They who think that the Church is compared in this passage to a synagogue are, in my opinion, mistaken, and only succeed in increasing the obstinacy of the Jews, who perceive that the Prophet's meaning is tortured.</w:t>
      </w:r>
      <w:r w:rsidRPr="005249AC">
        <w:rPr>
          <w:rFonts w:ascii="Times New Roman" w:hAnsi="Times New Roman"/>
          <w:noProof/>
          <w:sz w:val="20"/>
          <w:szCs w:val="20"/>
        </w:rPr>
        <w:footnoteReference w:id="92"/>
      </w:r>
      <w:r w:rsidRPr="005249AC">
        <w:rPr>
          <w:rFonts w:ascii="Times New Roman" w:hAnsi="Times New Roman"/>
          <w:noProof/>
          <w:sz w:val="20"/>
          <w:szCs w:val="20"/>
        </w:rPr>
        <w:t xml:space="preserve">" For Calvin the chief one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xml:space="preserve">, however, was to reveal the intention of the author. But they ignored the significant purpose of the interpretation of Scripture. </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Calvin maintained that the Rabbis invented `an absurd fable': "The Jews have, according to their manner, invented a foolish fable.</w:t>
      </w:r>
      <w:r w:rsidRPr="005249AC">
        <w:rPr>
          <w:rFonts w:ascii="Times New Roman" w:hAnsi="Times New Roman"/>
          <w:noProof/>
          <w:sz w:val="20"/>
          <w:szCs w:val="20"/>
        </w:rPr>
        <w:footnoteReference w:id="93"/>
      </w:r>
      <w:r w:rsidRPr="005249AC">
        <w:rPr>
          <w:rFonts w:ascii="Times New Roman" w:hAnsi="Times New Roman"/>
          <w:noProof/>
          <w:sz w:val="20"/>
          <w:szCs w:val="20"/>
        </w:rPr>
        <w:t xml:space="preserve">" They exercised their wit in fabulous glosses which had no historical </w:t>
      </w:r>
      <w:r w:rsidRPr="005249AC">
        <w:rPr>
          <w:rFonts w:ascii="Times New Roman" w:hAnsi="Times New Roman"/>
          <w:noProof/>
          <w:sz w:val="20"/>
          <w:szCs w:val="20"/>
        </w:rPr>
        <w:lastRenderedPageBreak/>
        <w:t>foundation</w:t>
      </w:r>
      <w:r w:rsidRPr="005249AC">
        <w:rPr>
          <w:rFonts w:ascii="Times New Roman" w:hAnsi="Times New Roman"/>
          <w:noProof/>
          <w:sz w:val="20"/>
          <w:szCs w:val="20"/>
        </w:rPr>
        <w:footnoteReference w:id="94"/>
      </w:r>
      <w:r w:rsidRPr="005249AC">
        <w:rPr>
          <w:rFonts w:ascii="Times New Roman" w:hAnsi="Times New Roman"/>
          <w:noProof/>
          <w:sz w:val="20"/>
          <w:szCs w:val="20"/>
        </w:rPr>
        <w:t>. Calvin denied the strange story invented by the Jewish interpreters to explain Jer. 17:11 "As the partridge sitteth on eggs, and hatcheth them not; so he that getteth riches, and not by right, shall leave them in the midst of his days, and at his end shall be a fool". He wrote: "The Rabbis, according to their practice, have devised fables; for they imagine that the partridge steals all the eggs of other birds which she can find, and gathers them in one heap, and then that the pullets, when hatched, fly away, as by certain hidden instinct, they understand that it is not their mother.</w:t>
      </w:r>
      <w:r w:rsidRPr="005249AC">
        <w:rPr>
          <w:rFonts w:ascii="Times New Roman" w:hAnsi="Times New Roman"/>
          <w:noProof/>
          <w:sz w:val="20"/>
          <w:szCs w:val="20"/>
        </w:rPr>
        <w:footnoteReference w:id="95"/>
      </w:r>
      <w:r w:rsidRPr="005249AC">
        <w:rPr>
          <w:rFonts w:ascii="Times New Roman" w:hAnsi="Times New Roman"/>
          <w:noProof/>
          <w:sz w:val="20"/>
          <w:szCs w:val="20"/>
        </w:rPr>
        <w:t xml:space="preserve">" Jewish pride, in Calvin's view, was exposed in the lack of humility with which the Jewish interpreters approached the text: They used </w:t>
      </w:r>
      <w:r w:rsidRPr="00313F58">
        <w:rPr>
          <w:rFonts w:ascii="Times New Roman" w:hAnsi="Times New Roman"/>
          <w:noProof/>
          <w:color w:val="FF0000"/>
          <w:sz w:val="20"/>
          <w:szCs w:val="20"/>
        </w:rPr>
        <w:t>their own conjectures in the interpretation</w:t>
      </w:r>
      <w:r w:rsidRPr="005249AC">
        <w:rPr>
          <w:rFonts w:ascii="Times New Roman" w:hAnsi="Times New Roman"/>
          <w:noProof/>
          <w:sz w:val="20"/>
          <w:szCs w:val="20"/>
        </w:rPr>
        <w:t xml:space="preserve"> of Scripture. In the interpretation of Ps. 136:13 "Who divided the Red Sea" Calvin argued that their conjectures were literally diabolic:</w:t>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The Psalmist speaks of divisions in the plural number, </w:t>
      </w:r>
      <w:r w:rsidRPr="005249AC">
        <w:rPr>
          <w:rFonts w:ascii="Times New Roman" w:hAnsi="Times New Roman"/>
          <w:noProof/>
          <w:sz w:val="20"/>
          <w:szCs w:val="20"/>
        </w:rPr>
        <w:tab/>
        <w:t xml:space="preserve">which has led some Jewish authors to conjecture that </w:t>
      </w:r>
      <w:r w:rsidRPr="005249AC">
        <w:rPr>
          <w:rFonts w:ascii="Times New Roman" w:hAnsi="Times New Roman"/>
          <w:noProof/>
          <w:sz w:val="20"/>
          <w:szCs w:val="20"/>
        </w:rPr>
        <w:tab/>
        <w:t xml:space="preserve">there must have been more passages - an instance of their </w:t>
      </w:r>
      <w:r w:rsidRPr="005249AC">
        <w:rPr>
          <w:rFonts w:ascii="Times New Roman" w:hAnsi="Times New Roman"/>
          <w:noProof/>
          <w:sz w:val="20"/>
          <w:szCs w:val="20"/>
        </w:rPr>
        <w:tab/>
        <w:t xml:space="preserve">solemn trifling in things of which they know nothing and </w:t>
      </w:r>
      <w:r w:rsidRPr="005249AC">
        <w:rPr>
          <w:rFonts w:ascii="Times New Roman" w:hAnsi="Times New Roman"/>
          <w:noProof/>
          <w:sz w:val="20"/>
          <w:szCs w:val="20"/>
        </w:rPr>
        <w:tab/>
        <w:t xml:space="preserve">of their method of corrupting the Scriptures entirely </w:t>
      </w:r>
      <w:r w:rsidRPr="005249AC">
        <w:rPr>
          <w:rFonts w:ascii="Times New Roman" w:hAnsi="Times New Roman"/>
          <w:noProof/>
          <w:sz w:val="20"/>
          <w:szCs w:val="20"/>
        </w:rPr>
        <w:tab/>
        <w:t xml:space="preserve">with vain fancies. We may well laugh at such fooleries, </w:t>
      </w:r>
      <w:r w:rsidRPr="005249AC">
        <w:rPr>
          <w:rFonts w:ascii="Times New Roman" w:hAnsi="Times New Roman"/>
          <w:noProof/>
          <w:sz w:val="20"/>
          <w:szCs w:val="20"/>
        </w:rPr>
        <w:tab/>
        <w:t xml:space="preserve">yet we are to hold them at the same time in detestation; </w:t>
      </w:r>
      <w:r w:rsidRPr="005249AC">
        <w:rPr>
          <w:rFonts w:ascii="Times New Roman" w:hAnsi="Times New Roman"/>
          <w:noProof/>
          <w:sz w:val="20"/>
          <w:szCs w:val="20"/>
        </w:rPr>
        <w:tab/>
        <w:t>for there can be no doubt that the rabbinical writers</w:t>
      </w:r>
      <w:r w:rsidRPr="005249AC">
        <w:rPr>
          <w:rFonts w:ascii="Times New Roman" w:hAnsi="Times New Roman"/>
          <w:noProof/>
          <w:sz w:val="20"/>
          <w:szCs w:val="20"/>
        </w:rPr>
        <w:tab/>
        <w:t xml:space="preserve"> </w:t>
      </w:r>
      <w:r w:rsidRPr="005249AC">
        <w:rPr>
          <w:rFonts w:ascii="Times New Roman" w:hAnsi="Times New Roman"/>
          <w:noProof/>
          <w:sz w:val="20"/>
          <w:szCs w:val="20"/>
        </w:rPr>
        <w:tab/>
        <w:t xml:space="preserve">were led to this by Satan, as an artful way of </w:t>
      </w:r>
      <w:r w:rsidRPr="005249AC">
        <w:rPr>
          <w:rFonts w:ascii="Times New Roman" w:hAnsi="Times New Roman"/>
          <w:noProof/>
          <w:sz w:val="20"/>
          <w:szCs w:val="20"/>
        </w:rPr>
        <w:tab/>
        <w:t xml:space="preserve">discrediting the Scriptures. Moses plainly and explicitly </w:t>
      </w:r>
      <w:r w:rsidRPr="005249AC">
        <w:rPr>
          <w:rFonts w:ascii="Times New Roman" w:hAnsi="Times New Roman"/>
          <w:noProof/>
          <w:sz w:val="20"/>
          <w:szCs w:val="20"/>
        </w:rPr>
        <w:tab/>
        <w:t xml:space="preserve">asserts that the heaps of waters stood up on both sides, </w:t>
      </w:r>
      <w:r w:rsidRPr="005249AC">
        <w:rPr>
          <w:rFonts w:ascii="Times New Roman" w:hAnsi="Times New Roman"/>
          <w:noProof/>
          <w:sz w:val="20"/>
          <w:szCs w:val="20"/>
        </w:rPr>
        <w:tab/>
        <w:t xml:space="preserve">from which we infer that the space between was one and </w:t>
      </w:r>
      <w:r w:rsidRPr="005249AC">
        <w:rPr>
          <w:rFonts w:ascii="Times New Roman" w:hAnsi="Times New Roman"/>
          <w:noProof/>
          <w:sz w:val="20"/>
          <w:szCs w:val="20"/>
        </w:rPr>
        <w:tab/>
        <w:t>undivided</w:t>
      </w:r>
      <w:r w:rsidRPr="005249AC">
        <w:rPr>
          <w:rFonts w:ascii="Times New Roman" w:hAnsi="Times New Roman"/>
          <w:noProof/>
          <w:sz w:val="20"/>
          <w:szCs w:val="20"/>
        </w:rPr>
        <w:footnoteReference w:id="96"/>
      </w:r>
      <w:r w:rsidRPr="005249AC">
        <w:rPr>
          <w:rFonts w:ascii="Times New Roman" w:hAnsi="Times New Roman"/>
          <w:noProof/>
          <w:sz w:val="20"/>
          <w:szCs w:val="20"/>
        </w:rPr>
        <w:t>.</w:t>
      </w:r>
    </w:p>
    <w:p w:rsidR="00F84A76" w:rsidRPr="005249AC" w:rsidRDefault="00F84A76" w:rsidP="00F84A76">
      <w:pPr>
        <w:spacing w:line="480" w:lineRule="auto"/>
        <w:rPr>
          <w:rFonts w:ascii="Times New Roman" w:hAnsi="Times New Roman"/>
          <w:noProof/>
          <w:sz w:val="20"/>
          <w:szCs w:val="20"/>
        </w:rPr>
      </w:pPr>
      <w:r w:rsidRPr="005249AC">
        <w:rPr>
          <w:rFonts w:ascii="Times New Roman" w:hAnsi="Times New Roman"/>
          <w:noProof/>
          <w:sz w:val="20"/>
          <w:szCs w:val="20"/>
        </w:rPr>
        <w:t xml:space="preserve">Here Calvin showed the principle of the avoidance of conjecture, one of the most significant elements of the ideal of </w:t>
      </w:r>
      <w:r w:rsidRPr="005249AC">
        <w:rPr>
          <w:rFonts w:ascii="Times New Roman" w:hAnsi="Times New Roman"/>
          <w:i/>
          <w:iCs/>
          <w:noProof/>
          <w:sz w:val="20"/>
          <w:szCs w:val="20"/>
        </w:rPr>
        <w:t>brevitas et facilitas</w:t>
      </w:r>
      <w:r w:rsidRPr="005249AC">
        <w:rPr>
          <w:rFonts w:ascii="Times New Roman" w:hAnsi="Times New Roman"/>
          <w:noProof/>
          <w:sz w:val="20"/>
          <w:szCs w:val="20"/>
        </w:rPr>
        <w:t>. This principle was to remove wrong speculations and to seek the simple meaning of the text. Calvin pointed out that their interpretation was not simple and natural. "The rabbins give this explanation - that the Prophet says that he himself was God's herald, and thus recites his words; but this is forced and unnatural.</w:t>
      </w:r>
      <w:r w:rsidRPr="005249AC">
        <w:rPr>
          <w:rFonts w:ascii="Times New Roman" w:hAnsi="Times New Roman"/>
          <w:noProof/>
          <w:sz w:val="20"/>
          <w:szCs w:val="20"/>
        </w:rPr>
        <w:footnoteReference w:id="97"/>
      </w:r>
      <w:r w:rsidRPr="005249AC">
        <w:rPr>
          <w:rFonts w:ascii="Times New Roman" w:hAnsi="Times New Roman"/>
          <w:noProof/>
          <w:sz w:val="20"/>
          <w:szCs w:val="20"/>
        </w:rPr>
        <w:t xml:space="preserve">" He also said, "Some Jewish interpreters understand it of the laws of the heathen. . . . I </w:t>
      </w:r>
      <w:r w:rsidRPr="005249AC">
        <w:rPr>
          <w:rFonts w:ascii="Times New Roman" w:hAnsi="Times New Roman"/>
          <w:noProof/>
          <w:sz w:val="20"/>
          <w:szCs w:val="20"/>
        </w:rPr>
        <w:lastRenderedPageBreak/>
        <w:t>therefore keep by the more simple explanation.</w:t>
      </w:r>
      <w:r w:rsidRPr="005249AC">
        <w:rPr>
          <w:rFonts w:ascii="Times New Roman" w:hAnsi="Times New Roman"/>
          <w:noProof/>
          <w:sz w:val="20"/>
          <w:szCs w:val="20"/>
        </w:rPr>
        <w:footnoteReference w:id="98"/>
      </w:r>
      <w:r w:rsidRPr="005249AC">
        <w:rPr>
          <w:rFonts w:ascii="Times New Roman" w:hAnsi="Times New Roman"/>
          <w:noProof/>
          <w:sz w:val="20"/>
          <w:szCs w:val="20"/>
        </w:rPr>
        <w:t>" From the principle of the avoidance of forced interpretation, Calvin criticized the Jewish interpretation.</w:t>
      </w:r>
      <w:r w:rsidRPr="005249AC">
        <w:rPr>
          <w:rFonts w:ascii="Times New Roman" w:hAnsi="Times New Roman"/>
          <w:noProof/>
          <w:sz w:val="20"/>
          <w:szCs w:val="20"/>
        </w:rPr>
        <w:tab/>
      </w:r>
    </w:p>
    <w:p w:rsidR="00F84A76" w:rsidRPr="005249AC" w:rsidRDefault="00F84A76"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 xml:space="preserve">It is clear that Calvin's attitude toward the Jewish interpreters was extremely critical and negative. Although Calvin referred to their grammatical commentaries and etymological skills, he strongly maintained that their interpretation of the Old Testament was a failure because they did not recognize Jesus as the Christ and the Messiah. Calvin's precise insight to judge the wrong interpretation of the Jewish interpreters was closely related to the employment of the principles of </w:t>
      </w:r>
      <w:r w:rsidRPr="005249AC">
        <w:rPr>
          <w:rFonts w:ascii="Times New Roman" w:hAnsi="Times New Roman"/>
          <w:i/>
          <w:iCs/>
          <w:noProof/>
          <w:sz w:val="20"/>
          <w:szCs w:val="20"/>
        </w:rPr>
        <w:t>brevitas et facilitas</w:t>
      </w:r>
      <w:r w:rsidRPr="005249AC">
        <w:rPr>
          <w:rFonts w:ascii="Times New Roman" w:hAnsi="Times New Roman"/>
          <w:noProof/>
          <w:sz w:val="20"/>
          <w:szCs w:val="20"/>
        </w:rPr>
        <w:t>.</w:t>
      </w:r>
    </w:p>
    <w:p w:rsidR="00F84A76" w:rsidRPr="005249AC" w:rsidRDefault="00F84A76" w:rsidP="00F84A76">
      <w:pPr>
        <w:spacing w:line="480" w:lineRule="auto"/>
        <w:ind w:firstLine="720"/>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p>
    <w:p w:rsidR="00F84A76" w:rsidRPr="005249AC" w:rsidRDefault="00F84A76" w:rsidP="00F84A76">
      <w:pPr>
        <w:spacing w:line="480" w:lineRule="auto"/>
        <w:ind w:firstLine="720"/>
        <w:rPr>
          <w:rFonts w:ascii="Times New Roman" w:hAnsi="Times New Roman"/>
          <w:noProof/>
          <w:sz w:val="20"/>
          <w:szCs w:val="20"/>
        </w:rPr>
      </w:pPr>
    </w:p>
    <w:p w:rsidR="00F84A76" w:rsidRPr="005249AC" w:rsidRDefault="00F84A76" w:rsidP="00F84A76">
      <w:pPr>
        <w:rPr>
          <w:rFonts w:ascii="Times New Roman" w:hAnsi="Times New Roman"/>
          <w:b/>
          <w:bCs/>
          <w:sz w:val="20"/>
          <w:szCs w:val="20"/>
        </w:rPr>
      </w:pPr>
      <w:r w:rsidRPr="005249AC">
        <w:rPr>
          <w:rFonts w:ascii="Times New Roman" w:hAnsi="Times New Roman"/>
          <w:b/>
          <w:bCs/>
          <w:sz w:val="20"/>
          <w:szCs w:val="20"/>
        </w:rPr>
        <w:t>The Routledge Companion to Hermeneutics</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Jeff Malpas, Hans-Helmuth Gander</w:t>
      </w:r>
    </w:p>
    <w:p w:rsidR="00F84A76" w:rsidRPr="005249AC" w:rsidRDefault="00F84A76" w:rsidP="00F84A76">
      <w:pPr>
        <w:spacing w:line="480" w:lineRule="auto"/>
        <w:ind w:firstLine="720"/>
        <w:rPr>
          <w:rFonts w:ascii="Times New Roman" w:hAnsi="Times New Roman"/>
          <w:b/>
          <w:bCs/>
          <w:sz w:val="20"/>
          <w:szCs w:val="20"/>
        </w:rPr>
      </w:pPr>
      <w:r w:rsidRPr="005249AC">
        <w:rPr>
          <w:rFonts w:ascii="Times New Roman" w:hAnsi="Times New Roman"/>
          <w:b/>
          <w:bCs/>
          <w:sz w:val="20"/>
          <w:szCs w:val="20"/>
        </w:rPr>
        <w:t>Hermeneutics in Medieval Thought</w:t>
      </w:r>
    </w:p>
    <w:p w:rsidR="00F84A76" w:rsidRPr="005249AC" w:rsidRDefault="00F84A76" w:rsidP="00F84A76">
      <w:pPr>
        <w:rPr>
          <w:rFonts w:ascii="Times New Roman" w:hAnsi="Times New Roman"/>
          <w:sz w:val="20"/>
          <w:szCs w:val="20"/>
        </w:rPr>
      </w:pP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Anselm</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AnselmwasborninAosta(circa1033)anddiedinCanterbury(1109).Hewasa</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Benedictinemonk,beginninghiscareerinBec,wherehebecameabbot,andthen</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going ontoCanterburyasitsbishop.Hewrotephilosophicalworks,suchasthe</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Monologion and the Proslogion, andalsotheologicalworks.Hedevelopedhisown</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version ofAugustine’s dictum, credo utintelligam – “I believeinorderthatImay</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understand” – turningitinto “Fides quaerens</w:t>
      </w:r>
      <w:r w:rsidR="00510389">
        <w:rPr>
          <w:rFonts w:ascii="Times New Roman" w:hAnsi="Times New Roman" w:hint="eastAsia"/>
          <w:sz w:val="20"/>
          <w:szCs w:val="20"/>
        </w:rPr>
        <w:t xml:space="preserve"> </w:t>
      </w:r>
      <w:r w:rsidRPr="005249AC">
        <w:rPr>
          <w:rFonts w:ascii="Times New Roman" w:hAnsi="Times New Roman"/>
          <w:sz w:val="20"/>
          <w:szCs w:val="20"/>
        </w:rPr>
        <w:t>intellectum” – “faithlooksforunder-</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standing” (Anselm1952a:685–87). Anselmwascommittedtotheuseofreason,and</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to dialecticsorlogic.Althoughchargedwithanexcessiverationalism,histhinking</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not onlyfollowedreason,butitalsoremainedtruetoauthority – especiallythatof</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Augustine.</w:t>
      </w:r>
    </w:p>
    <w:p w:rsidR="00F84A76" w:rsidRPr="00510389" w:rsidRDefault="00F84A76" w:rsidP="00F84A76">
      <w:r w:rsidRPr="005249AC">
        <w:t>Anselm acceptedthattheBibleis</w:t>
      </w:r>
      <w:r w:rsidR="00510389">
        <w:rPr>
          <w:rFonts w:hint="eastAsia"/>
        </w:rPr>
        <w:t xml:space="preserve">  </w:t>
      </w:r>
      <w:r w:rsidRPr="005249AC">
        <w:t>polysemic</w:t>
      </w:r>
      <w:r w:rsidR="00510389">
        <w:rPr>
          <w:rFonts w:hint="eastAsia"/>
        </w:rPr>
        <w:t>(</w:t>
      </w:r>
      <w:r w:rsidR="00510389" w:rsidRPr="00510389">
        <w:t>many</w:t>
      </w:r>
      <w:r w:rsidR="00510389">
        <w:rPr>
          <w:rFonts w:hint="eastAsia"/>
        </w:rPr>
        <w:t>)</w:t>
      </w:r>
      <w:r w:rsidRPr="005249AC">
        <w:t>,claiming</w:t>
      </w:r>
      <w:r w:rsidR="00510389">
        <w:rPr>
          <w:rFonts w:hint="eastAsia"/>
        </w:rPr>
        <w:t xml:space="preserve"> </w:t>
      </w:r>
      <w:r w:rsidRPr="005249AC">
        <w:t>that</w:t>
      </w:r>
      <w:r w:rsidR="00510389">
        <w:rPr>
          <w:rFonts w:hint="eastAsia"/>
        </w:rPr>
        <w:t xml:space="preserve"> </w:t>
      </w:r>
      <w:r w:rsidRPr="005249AC">
        <w:t>the</w:t>
      </w:r>
      <w:r w:rsidR="00510389">
        <w:rPr>
          <w:rFonts w:hint="eastAsia"/>
        </w:rPr>
        <w:t xml:space="preserve"> </w:t>
      </w:r>
      <w:r w:rsidRPr="005249AC">
        <w:t>rear</w:t>
      </w:r>
      <w:r w:rsidR="00510389">
        <w:rPr>
          <w:rFonts w:hint="eastAsia"/>
        </w:rPr>
        <w:t xml:space="preserve"> </w:t>
      </w:r>
      <w:r w:rsidRPr="005249AC">
        <w:t>evarious</w:t>
      </w:r>
      <w:r w:rsidR="00510389">
        <w:rPr>
          <w:rFonts w:hint="eastAsia"/>
        </w:rPr>
        <w:t xml:space="preserve"> </w:t>
      </w:r>
      <w:r w:rsidRPr="005249AC">
        <w:rPr>
          <w:rFonts w:ascii="Times New Roman" w:hAnsi="Times New Roman"/>
          <w:sz w:val="20"/>
          <w:szCs w:val="20"/>
        </w:rPr>
        <w:t>meanings,and</w:t>
      </w:r>
      <w:r w:rsidR="00007BB1">
        <w:rPr>
          <w:rFonts w:ascii="Times New Roman" w:hAnsi="Times New Roman" w:hint="eastAsia"/>
          <w:sz w:val="20"/>
          <w:szCs w:val="20"/>
        </w:rPr>
        <w:t xml:space="preserve"> </w:t>
      </w:r>
      <w:r w:rsidRPr="005249AC">
        <w:rPr>
          <w:rFonts w:ascii="Times New Roman" w:hAnsi="Times New Roman"/>
          <w:sz w:val="20"/>
          <w:szCs w:val="20"/>
        </w:rPr>
        <w:t>morethan</w:t>
      </w:r>
      <w:r w:rsidR="00007BB1">
        <w:rPr>
          <w:rFonts w:ascii="Times New Roman" w:hAnsi="Times New Roman" w:hint="eastAsia"/>
          <w:sz w:val="20"/>
          <w:szCs w:val="20"/>
        </w:rPr>
        <w:t xml:space="preserve"> </w:t>
      </w:r>
      <w:r w:rsidRPr="005249AC">
        <w:rPr>
          <w:rFonts w:ascii="Times New Roman" w:hAnsi="Times New Roman"/>
          <w:sz w:val="20"/>
          <w:szCs w:val="20"/>
        </w:rPr>
        <w:t>one</w:t>
      </w:r>
      <w:r w:rsidR="00007BB1">
        <w:rPr>
          <w:rFonts w:ascii="Times New Roman" w:hAnsi="Times New Roman" w:hint="eastAsia"/>
          <w:sz w:val="20"/>
          <w:szCs w:val="20"/>
        </w:rPr>
        <w:t xml:space="preserve"> </w:t>
      </w:r>
      <w:r w:rsidRPr="005249AC">
        <w:rPr>
          <w:rFonts w:ascii="Times New Roman" w:hAnsi="Times New Roman"/>
          <w:sz w:val="20"/>
          <w:szCs w:val="20"/>
        </w:rPr>
        <w:t>probable</w:t>
      </w:r>
      <w:r w:rsidR="00007BB1">
        <w:rPr>
          <w:rFonts w:ascii="Times New Roman" w:hAnsi="Times New Roman" w:hint="eastAsia"/>
          <w:sz w:val="20"/>
          <w:szCs w:val="20"/>
        </w:rPr>
        <w:t xml:space="preserve"> </w:t>
      </w:r>
      <w:r w:rsidRPr="005249AC">
        <w:rPr>
          <w:rFonts w:ascii="Times New Roman" w:hAnsi="Times New Roman"/>
          <w:sz w:val="20"/>
          <w:szCs w:val="20"/>
        </w:rPr>
        <w:t>interpretation,</w:t>
      </w:r>
      <w:r w:rsidR="00007BB1">
        <w:rPr>
          <w:rFonts w:ascii="Times New Roman" w:hAnsi="Times New Roman" w:hint="eastAsia"/>
          <w:sz w:val="20"/>
          <w:szCs w:val="20"/>
        </w:rPr>
        <w:t xml:space="preserve"> </w:t>
      </w:r>
      <w:r w:rsidRPr="005249AC">
        <w:rPr>
          <w:rFonts w:ascii="Times New Roman" w:hAnsi="Times New Roman"/>
          <w:sz w:val="20"/>
          <w:szCs w:val="20"/>
        </w:rPr>
        <w:t>tobefoundinScripture</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(Anselm1952b,l.I,c.18:791–99). Yetinspiteofsuchplurality,Anselmheldthat</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there isalwaysonemeaningorinterpretationthatismorestronglysupported</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by evidenceandargument.Hence,hispreferencefordialecticsashismethodof</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 xml:space="preserve">interpretationasthemeanstoarriveat ratio </w:t>
      </w:r>
      <w:r w:rsidRPr="005249AC">
        <w:rPr>
          <w:rFonts w:ascii="Times New Roman" w:eastAsia="AdvOTf00f9d9a.I+fb" w:hAnsi="Times New Roman"/>
          <w:sz w:val="20"/>
          <w:szCs w:val="20"/>
        </w:rPr>
        <w:t>fi</w:t>
      </w:r>
      <w:r w:rsidRPr="005249AC">
        <w:rPr>
          <w:rFonts w:ascii="Times New Roman" w:hAnsi="Times New Roman"/>
          <w:sz w:val="20"/>
          <w:szCs w:val="20"/>
        </w:rPr>
        <w:t>deli (in this,hewentfrommonastic</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hermeneutics,basedonrhetoric,toscholastichermeneutics,basedonlogic).Yet</w:t>
      </w:r>
    </w:p>
    <w:p w:rsidR="00510389" w:rsidRDefault="00F84A76" w:rsidP="00F84A76">
      <w:pPr>
        <w:rPr>
          <w:rFonts w:ascii="Times New Roman" w:hAnsi="Times New Roman"/>
          <w:sz w:val="20"/>
          <w:szCs w:val="20"/>
        </w:rPr>
      </w:pPr>
      <w:r w:rsidRPr="005249AC">
        <w:rPr>
          <w:rFonts w:ascii="Times New Roman" w:hAnsi="Times New Roman"/>
          <w:sz w:val="20"/>
          <w:szCs w:val="20"/>
        </w:rPr>
        <w:t>Anselmextendsthe ratio to encompassmanysenses:</w:t>
      </w:r>
    </w:p>
    <w:p w:rsidR="00F84A76" w:rsidRPr="00510389" w:rsidRDefault="00F84A76" w:rsidP="00F84A76">
      <w:pPr>
        <w:rPr>
          <w:rFonts w:ascii="Times New Roman" w:hAnsi="Times New Roman"/>
          <w:color w:val="C00000"/>
          <w:sz w:val="20"/>
          <w:szCs w:val="20"/>
        </w:rPr>
      </w:pPr>
      <w:r w:rsidRPr="00510389">
        <w:rPr>
          <w:rFonts w:ascii="Times New Roman" w:hAnsi="Times New Roman"/>
          <w:color w:val="C00000"/>
          <w:sz w:val="20"/>
          <w:szCs w:val="20"/>
        </w:rPr>
        <w:t>ontological,logical,epistemo-</w:t>
      </w:r>
    </w:p>
    <w:p w:rsidR="00510389" w:rsidRDefault="00F84A76" w:rsidP="00F84A76">
      <w:pPr>
        <w:rPr>
          <w:rFonts w:ascii="Times New Roman" w:hAnsi="Times New Roman"/>
          <w:sz w:val="20"/>
          <w:szCs w:val="20"/>
        </w:rPr>
      </w:pPr>
      <w:r w:rsidRPr="00510389">
        <w:rPr>
          <w:rFonts w:ascii="Times New Roman" w:hAnsi="Times New Roman"/>
          <w:color w:val="C00000"/>
          <w:sz w:val="20"/>
          <w:szCs w:val="20"/>
        </w:rPr>
        <w:t>logical,andpsychological</w:t>
      </w:r>
      <w:r w:rsidRPr="005249AC">
        <w:rPr>
          <w:rFonts w:ascii="Times New Roman" w:hAnsi="Times New Roman"/>
          <w:sz w:val="20"/>
          <w:szCs w:val="20"/>
        </w:rPr>
        <w:t>.</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Moreover,healsoadmitsjoyastheproperaimof</w:t>
      </w:r>
    </w:p>
    <w:p w:rsidR="00F84A76" w:rsidRPr="005249AC" w:rsidRDefault="00F84A76" w:rsidP="00F84A76">
      <w:pPr>
        <w:rPr>
          <w:rFonts w:ascii="Times New Roman" w:hAnsi="Times New Roman"/>
          <w:sz w:val="20"/>
          <w:szCs w:val="20"/>
        </w:rPr>
      </w:pPr>
      <w:r w:rsidRPr="005249AC">
        <w:rPr>
          <w:rFonts w:ascii="Times New Roman" w:hAnsi="Times New Roman"/>
          <w:sz w:val="20"/>
          <w:szCs w:val="20"/>
        </w:rPr>
        <w:t>knowledge.Anselm’s commentaryonscriptureaimsatliterality,andhemakesonly</w:t>
      </w:r>
    </w:p>
    <w:p w:rsidR="00F84A76" w:rsidRDefault="00F84A76" w:rsidP="00F84A76">
      <w:pPr>
        <w:spacing w:line="480" w:lineRule="auto"/>
        <w:ind w:firstLine="720"/>
        <w:rPr>
          <w:rFonts w:ascii="Times New Roman" w:hAnsi="Times New Roman"/>
          <w:sz w:val="20"/>
          <w:szCs w:val="20"/>
        </w:rPr>
      </w:pPr>
      <w:r w:rsidRPr="005249AC">
        <w:rPr>
          <w:rFonts w:ascii="Times New Roman" w:hAnsi="Times New Roman"/>
          <w:sz w:val="20"/>
          <w:szCs w:val="20"/>
        </w:rPr>
        <w:lastRenderedPageBreak/>
        <w:t>scant useofallegory – in this,heisalreadytheprecursorofscholasticism.</w:t>
      </w:r>
    </w:p>
    <w:p w:rsidR="00510389" w:rsidRPr="005249AC" w:rsidRDefault="00510389" w:rsidP="00F84A76">
      <w:pPr>
        <w:spacing w:line="480" w:lineRule="auto"/>
        <w:ind w:firstLine="720"/>
        <w:rPr>
          <w:rFonts w:ascii="Times New Roman" w:hAnsi="Times New Roman"/>
          <w:noProof/>
          <w:sz w:val="20"/>
          <w:szCs w:val="20"/>
        </w:rPr>
      </w:pPr>
    </w:p>
    <w:p w:rsidR="00F84A76" w:rsidRPr="005249AC" w:rsidRDefault="00F84A76" w:rsidP="00F84A76">
      <w:pPr>
        <w:pStyle w:val="aa"/>
        <w:rPr>
          <w:rFonts w:ascii="Times New Roman" w:hAnsi="Times New Roman"/>
          <w:sz w:val="20"/>
          <w:szCs w:val="20"/>
        </w:rPr>
      </w:pPr>
      <w:r w:rsidRPr="005249AC">
        <w:rPr>
          <w:rFonts w:ascii="Times New Roman" w:hAnsi="Times New Roman"/>
          <w:sz w:val="20"/>
          <w:szCs w:val="20"/>
        </w:rPr>
        <w:t>ThomasAquinas</w:t>
      </w:r>
    </w:p>
    <w:p w:rsidR="00F84A76" w:rsidRDefault="00F84A76" w:rsidP="00F84A76">
      <w:pPr>
        <w:pStyle w:val="aa"/>
        <w:rPr>
          <w:rFonts w:ascii="Times New Roman" w:hAnsi="Times New Roman"/>
          <w:sz w:val="20"/>
          <w:szCs w:val="20"/>
        </w:rPr>
      </w:pPr>
    </w:p>
    <w:p w:rsidR="005F7438" w:rsidRDefault="005F7438" w:rsidP="00F84A76">
      <w:pPr>
        <w:pStyle w:val="aa"/>
        <w:rPr>
          <w:rFonts w:ascii="Times New Roman" w:hAnsi="Times New Roman"/>
          <w:sz w:val="20"/>
          <w:szCs w:val="20"/>
        </w:rPr>
      </w:pPr>
    </w:p>
    <w:p w:rsidR="005F7438" w:rsidRDefault="005F7438" w:rsidP="005F7438">
      <w:pPr>
        <w:pStyle w:val="a7"/>
        <w:shd w:val="clear" w:color="auto" w:fill="FFFFFF"/>
        <w:spacing w:before="120" w:beforeAutospacing="0" w:after="120" w:afterAutospacing="0" w:line="224" w:lineRule="atLeast"/>
        <w:rPr>
          <w:rFonts w:ascii="Arial" w:hAnsi="Arial" w:cs="Arial"/>
          <w:color w:val="252525"/>
          <w:sz w:val="14"/>
          <w:szCs w:val="14"/>
        </w:rPr>
      </w:pPr>
      <w:r>
        <w:rPr>
          <w:rFonts w:ascii="Arial" w:hAnsi="Arial" w:cs="Arial"/>
          <w:b/>
          <w:bCs/>
          <w:color w:val="252525"/>
          <w:sz w:val="14"/>
          <w:szCs w:val="14"/>
        </w:rPr>
        <w:t>Tommaso d'Aquino</w:t>
      </w:r>
      <w:r>
        <w:rPr>
          <w:rFonts w:ascii="Arial" w:hAnsi="Arial" w:cs="Arial"/>
          <w:color w:val="252525"/>
          <w:sz w:val="14"/>
          <w:szCs w:val="14"/>
        </w:rPr>
        <w:t>,</w:t>
      </w:r>
      <w:r>
        <w:rPr>
          <w:rStyle w:val="apple-converted-space"/>
          <w:rFonts w:ascii="Arial" w:hAnsi="Arial" w:cs="Arial"/>
          <w:color w:val="252525"/>
          <w:sz w:val="14"/>
          <w:szCs w:val="14"/>
        </w:rPr>
        <w:t> </w:t>
      </w:r>
      <w:hyperlink r:id="rId126" w:tooltip="Member of the Order of Preachers" w:history="1">
        <w:r>
          <w:rPr>
            <w:rStyle w:val="a6"/>
            <w:rFonts w:ascii="Arial" w:hAnsi="Arial" w:cs="Arial"/>
            <w:color w:val="0B0080"/>
            <w:sz w:val="14"/>
            <w:szCs w:val="14"/>
          </w:rPr>
          <w:t>OP</w:t>
        </w:r>
      </w:hyperlink>
      <w:r>
        <w:rPr>
          <w:rStyle w:val="apple-converted-space"/>
          <w:rFonts w:ascii="Arial" w:hAnsi="Arial" w:cs="Arial"/>
          <w:color w:val="252525"/>
          <w:sz w:val="14"/>
          <w:szCs w:val="14"/>
        </w:rPr>
        <w:t> </w:t>
      </w:r>
      <w:r>
        <w:rPr>
          <w:rFonts w:ascii="Arial" w:hAnsi="Arial" w:cs="Arial"/>
          <w:color w:val="252525"/>
          <w:sz w:val="14"/>
          <w:szCs w:val="14"/>
        </w:rPr>
        <w:t>(</w:t>
      </w:r>
      <w:hyperlink r:id="rId127" w:tooltip="Latin language" w:history="1">
        <w:r>
          <w:rPr>
            <w:rStyle w:val="a6"/>
            <w:rFonts w:ascii="Arial" w:hAnsi="Arial" w:cs="Arial"/>
            <w:color w:val="0B0080"/>
            <w:sz w:val="14"/>
            <w:szCs w:val="14"/>
          </w:rPr>
          <w:t>Latin</w:t>
        </w:r>
      </w:hyperlink>
      <w:r>
        <w:rPr>
          <w:rFonts w:ascii="Arial" w:hAnsi="Arial" w:cs="Arial"/>
          <w:color w:val="252525"/>
          <w:sz w:val="14"/>
          <w:szCs w:val="14"/>
        </w:rPr>
        <w:t>:</w:t>
      </w:r>
      <w:r>
        <w:rPr>
          <w:rStyle w:val="apple-converted-space"/>
          <w:rFonts w:ascii="Arial" w:hAnsi="Arial" w:cs="Arial"/>
          <w:color w:val="252525"/>
          <w:sz w:val="14"/>
          <w:szCs w:val="14"/>
        </w:rPr>
        <w:t> </w:t>
      </w:r>
      <w:r>
        <w:rPr>
          <w:rFonts w:ascii="Arial" w:hAnsi="Arial" w:cs="Arial"/>
          <w:i/>
          <w:iCs/>
          <w:color w:val="252525"/>
          <w:sz w:val="14"/>
          <w:szCs w:val="14"/>
          <w:lang w:val="la-Latn"/>
        </w:rPr>
        <w:t>Thomas de Aquino</w:t>
      </w:r>
      <w:r>
        <w:rPr>
          <w:rFonts w:ascii="Arial" w:hAnsi="Arial" w:cs="Arial"/>
          <w:color w:val="252525"/>
          <w:sz w:val="14"/>
          <w:szCs w:val="14"/>
        </w:rPr>
        <w:t>; 1225 – 7 March 1274), also known as</w:t>
      </w:r>
      <w:r>
        <w:rPr>
          <w:rStyle w:val="apple-converted-space"/>
          <w:rFonts w:ascii="Arial" w:hAnsi="Arial" w:cs="Arial"/>
          <w:color w:val="252525"/>
          <w:sz w:val="14"/>
          <w:szCs w:val="14"/>
        </w:rPr>
        <w:t> </w:t>
      </w:r>
      <w:r>
        <w:rPr>
          <w:rFonts w:ascii="Arial" w:hAnsi="Arial" w:cs="Arial"/>
          <w:b/>
          <w:bCs/>
          <w:color w:val="252525"/>
          <w:sz w:val="14"/>
          <w:szCs w:val="14"/>
        </w:rPr>
        <w:t>Saint Thomas Aquinas</w:t>
      </w:r>
      <w:r>
        <w:rPr>
          <w:rStyle w:val="apple-converted-space"/>
          <w:rFonts w:ascii="Arial" w:hAnsi="Arial" w:cs="Arial"/>
          <w:color w:val="252525"/>
          <w:sz w:val="14"/>
          <w:szCs w:val="14"/>
        </w:rPr>
        <w:t> </w:t>
      </w:r>
      <w:r>
        <w:rPr>
          <w:rFonts w:ascii="Arial" w:hAnsi="Arial" w:cs="Arial"/>
          <w:color w:val="252525"/>
          <w:sz w:val="14"/>
          <w:szCs w:val="14"/>
        </w:rPr>
        <w:t>(</w:t>
      </w:r>
      <w:hyperlink r:id="rId128" w:tooltip="Help:IPA for English" w:history="1">
        <w:r>
          <w:rPr>
            <w:rStyle w:val="a6"/>
            <w:rFonts w:ascii="Arial" w:hAnsi="Arial" w:cs="Arial"/>
            <w:color w:val="0B0080"/>
            <w:sz w:val="14"/>
            <w:szCs w:val="14"/>
          </w:rPr>
          <w:t>/əˈkwaɪnəs/</w:t>
        </w:r>
      </w:hyperlink>
      <w:r>
        <w:rPr>
          <w:rFonts w:ascii="Arial" w:hAnsi="Arial" w:cs="Arial"/>
          <w:color w:val="252525"/>
          <w:sz w:val="14"/>
          <w:szCs w:val="14"/>
        </w:rPr>
        <w:t>), is a</w:t>
      </w:r>
      <w:r>
        <w:rPr>
          <w:rStyle w:val="apple-converted-space"/>
          <w:rFonts w:ascii="Arial" w:hAnsi="Arial" w:cs="Arial"/>
          <w:color w:val="252525"/>
          <w:sz w:val="14"/>
          <w:szCs w:val="14"/>
        </w:rPr>
        <w:t> </w:t>
      </w:r>
      <w:hyperlink r:id="rId129" w:tooltip="Doctor of the Church" w:history="1">
        <w:r>
          <w:rPr>
            <w:rStyle w:val="a6"/>
            <w:rFonts w:ascii="Arial" w:hAnsi="Arial" w:cs="Arial"/>
            <w:color w:val="0B0080"/>
            <w:sz w:val="14"/>
            <w:szCs w:val="14"/>
          </w:rPr>
          <w:t>Doctor of the Church</w:t>
        </w:r>
      </w:hyperlink>
      <w:r>
        <w:rPr>
          <w:rFonts w:ascii="Arial" w:hAnsi="Arial" w:cs="Arial"/>
          <w:color w:val="252525"/>
          <w:sz w:val="14"/>
          <w:szCs w:val="14"/>
        </w:rPr>
        <w:t>. He was an</w:t>
      </w:r>
      <w:r>
        <w:rPr>
          <w:rStyle w:val="apple-converted-space"/>
          <w:rFonts w:ascii="Arial" w:hAnsi="Arial" w:cs="Arial"/>
          <w:color w:val="252525"/>
          <w:sz w:val="14"/>
          <w:szCs w:val="14"/>
        </w:rPr>
        <w:t> </w:t>
      </w:r>
      <w:hyperlink r:id="rId130" w:tooltip="Italians" w:history="1">
        <w:r>
          <w:rPr>
            <w:rStyle w:val="a6"/>
            <w:rFonts w:ascii="Arial" w:hAnsi="Arial" w:cs="Arial"/>
            <w:color w:val="0B0080"/>
            <w:sz w:val="14"/>
            <w:szCs w:val="14"/>
          </w:rPr>
          <w:t>Italian</w:t>
        </w:r>
      </w:hyperlink>
      <w:hyperlink r:id="rId131" w:anchor="cite_note-JPC-3" w:history="1">
        <w:r>
          <w:rPr>
            <w:rStyle w:val="a6"/>
            <w:rFonts w:ascii="Arial" w:hAnsi="Arial" w:cs="Arial"/>
            <w:color w:val="0B0080"/>
            <w:sz w:val="11"/>
            <w:szCs w:val="11"/>
            <w:vertAlign w:val="superscript"/>
          </w:rPr>
          <w:t>[3]</w:t>
        </w:r>
      </w:hyperlink>
      <w:hyperlink r:id="rId132" w:anchor="cite_note-RBV-4" w:history="1">
        <w:r>
          <w:rPr>
            <w:rStyle w:val="a6"/>
            <w:rFonts w:ascii="Arial" w:hAnsi="Arial" w:cs="Arial"/>
            <w:color w:val="0B0080"/>
            <w:sz w:val="11"/>
            <w:szCs w:val="11"/>
            <w:vertAlign w:val="superscript"/>
          </w:rPr>
          <w:t>[4]</w:t>
        </w:r>
      </w:hyperlink>
      <w:r>
        <w:rPr>
          <w:rStyle w:val="apple-converted-space"/>
          <w:rFonts w:ascii="Arial" w:hAnsi="Arial" w:cs="Arial"/>
          <w:color w:val="252525"/>
          <w:sz w:val="14"/>
          <w:szCs w:val="14"/>
        </w:rPr>
        <w:t> </w:t>
      </w:r>
      <w:hyperlink r:id="rId133" w:tooltip="Dominican Order" w:history="1">
        <w:r>
          <w:rPr>
            <w:rStyle w:val="a6"/>
            <w:rFonts w:ascii="Arial" w:hAnsi="Arial" w:cs="Arial"/>
            <w:color w:val="0B0080"/>
            <w:sz w:val="14"/>
            <w:szCs w:val="14"/>
          </w:rPr>
          <w:t>Dominican</w:t>
        </w:r>
      </w:hyperlink>
      <w:r>
        <w:rPr>
          <w:rStyle w:val="apple-converted-space"/>
          <w:rFonts w:ascii="Arial" w:hAnsi="Arial" w:cs="Arial"/>
          <w:color w:val="252525"/>
          <w:sz w:val="14"/>
          <w:szCs w:val="14"/>
        </w:rPr>
        <w:t> </w:t>
      </w:r>
      <w:hyperlink r:id="rId134" w:tooltip="Friar" w:history="1">
        <w:r>
          <w:rPr>
            <w:rStyle w:val="a6"/>
            <w:rFonts w:ascii="Arial" w:hAnsi="Arial" w:cs="Arial"/>
            <w:color w:val="0B0080"/>
            <w:sz w:val="14"/>
            <w:szCs w:val="14"/>
          </w:rPr>
          <w:t>friar</w:t>
        </w:r>
      </w:hyperlink>
      <w:r>
        <w:rPr>
          <w:rStyle w:val="apple-converted-space"/>
          <w:rFonts w:ascii="Arial" w:hAnsi="Arial" w:cs="Arial"/>
          <w:color w:val="252525"/>
          <w:sz w:val="14"/>
          <w:szCs w:val="14"/>
        </w:rPr>
        <w:t> </w:t>
      </w:r>
      <w:r>
        <w:rPr>
          <w:rFonts w:ascii="Arial" w:hAnsi="Arial" w:cs="Arial"/>
          <w:color w:val="252525"/>
          <w:sz w:val="14"/>
          <w:szCs w:val="14"/>
        </w:rPr>
        <w:t>and Roman</w:t>
      </w:r>
      <w:r>
        <w:rPr>
          <w:rStyle w:val="apple-converted-space"/>
          <w:rFonts w:ascii="Arial" w:hAnsi="Arial" w:cs="Arial"/>
          <w:color w:val="252525"/>
          <w:sz w:val="14"/>
          <w:szCs w:val="14"/>
        </w:rPr>
        <w:t> </w:t>
      </w:r>
      <w:hyperlink r:id="rId135" w:tooltip="Priesthood (Catholic Church)" w:history="1">
        <w:r>
          <w:rPr>
            <w:rStyle w:val="a6"/>
            <w:rFonts w:ascii="Arial" w:hAnsi="Arial" w:cs="Arial"/>
            <w:color w:val="0B0080"/>
            <w:sz w:val="14"/>
            <w:szCs w:val="14"/>
          </w:rPr>
          <w:t>Catholic priest</w:t>
        </w:r>
      </w:hyperlink>
      <w:r>
        <w:rPr>
          <w:rFonts w:ascii="Arial" w:hAnsi="Arial" w:cs="Arial"/>
          <w:color w:val="252525"/>
          <w:sz w:val="14"/>
          <w:szCs w:val="14"/>
        </w:rPr>
        <w:t>, who was an immensely influential</w:t>
      </w:r>
      <w:r>
        <w:rPr>
          <w:rStyle w:val="apple-converted-space"/>
          <w:rFonts w:ascii="Arial" w:hAnsi="Arial" w:cs="Arial"/>
          <w:color w:val="252525"/>
          <w:sz w:val="14"/>
          <w:szCs w:val="14"/>
        </w:rPr>
        <w:t> </w:t>
      </w:r>
      <w:hyperlink r:id="rId136" w:tooltip="Philosopher" w:history="1">
        <w:r>
          <w:rPr>
            <w:rStyle w:val="a6"/>
            <w:rFonts w:ascii="Arial" w:hAnsi="Arial" w:cs="Arial"/>
            <w:color w:val="0B0080"/>
            <w:sz w:val="14"/>
            <w:szCs w:val="14"/>
          </w:rPr>
          <w:t>philosopher</w:t>
        </w:r>
      </w:hyperlink>
      <w:r>
        <w:rPr>
          <w:rFonts w:ascii="Arial" w:hAnsi="Arial" w:cs="Arial"/>
          <w:color w:val="252525"/>
          <w:sz w:val="14"/>
          <w:szCs w:val="14"/>
        </w:rPr>
        <w:t>,</w:t>
      </w:r>
      <w:r>
        <w:rPr>
          <w:rStyle w:val="apple-converted-space"/>
          <w:rFonts w:ascii="Arial" w:hAnsi="Arial" w:cs="Arial"/>
          <w:color w:val="252525"/>
          <w:sz w:val="14"/>
          <w:szCs w:val="14"/>
        </w:rPr>
        <w:t> </w:t>
      </w:r>
      <w:hyperlink r:id="rId137" w:tooltip="Theologian" w:history="1">
        <w:r>
          <w:rPr>
            <w:rStyle w:val="a6"/>
            <w:rFonts w:ascii="Arial" w:hAnsi="Arial" w:cs="Arial"/>
            <w:color w:val="0B0080"/>
            <w:sz w:val="14"/>
            <w:szCs w:val="14"/>
          </w:rPr>
          <w:t>theologian</w:t>
        </w:r>
      </w:hyperlink>
      <w:r>
        <w:rPr>
          <w:rFonts w:ascii="Arial" w:hAnsi="Arial" w:cs="Arial"/>
          <w:color w:val="252525"/>
          <w:sz w:val="14"/>
          <w:szCs w:val="14"/>
        </w:rPr>
        <w:t>and</w:t>
      </w:r>
      <w:r>
        <w:rPr>
          <w:rStyle w:val="apple-converted-space"/>
          <w:rFonts w:ascii="Arial" w:hAnsi="Arial" w:cs="Arial"/>
          <w:color w:val="252525"/>
          <w:sz w:val="14"/>
          <w:szCs w:val="14"/>
        </w:rPr>
        <w:t> </w:t>
      </w:r>
      <w:hyperlink r:id="rId138" w:tooltip="Jurist" w:history="1">
        <w:r>
          <w:rPr>
            <w:rStyle w:val="a6"/>
            <w:rFonts w:ascii="Arial" w:hAnsi="Arial" w:cs="Arial"/>
            <w:color w:val="0B0080"/>
            <w:sz w:val="14"/>
            <w:szCs w:val="14"/>
          </w:rPr>
          <w:t>jurist</w:t>
        </w:r>
      </w:hyperlink>
      <w:r>
        <w:rPr>
          <w:rStyle w:val="apple-converted-space"/>
          <w:rFonts w:ascii="Arial" w:hAnsi="Arial" w:cs="Arial"/>
          <w:color w:val="252525"/>
          <w:sz w:val="14"/>
          <w:szCs w:val="14"/>
        </w:rPr>
        <w:t> </w:t>
      </w:r>
      <w:r>
        <w:rPr>
          <w:rFonts w:ascii="Arial" w:hAnsi="Arial" w:cs="Arial"/>
          <w:color w:val="252525"/>
          <w:sz w:val="14"/>
          <w:szCs w:val="14"/>
        </w:rPr>
        <w:t>in the tradition of</w:t>
      </w:r>
      <w:r>
        <w:rPr>
          <w:rStyle w:val="apple-converted-space"/>
          <w:rFonts w:ascii="Arial" w:hAnsi="Arial" w:cs="Arial"/>
          <w:color w:val="252525"/>
          <w:sz w:val="14"/>
          <w:szCs w:val="14"/>
        </w:rPr>
        <w:t> </w:t>
      </w:r>
      <w:hyperlink r:id="rId139" w:tooltip="Scholasticism" w:history="1">
        <w:r>
          <w:rPr>
            <w:rStyle w:val="a6"/>
            <w:rFonts w:ascii="Arial" w:hAnsi="Arial" w:cs="Arial"/>
            <w:color w:val="0B0080"/>
            <w:sz w:val="14"/>
            <w:szCs w:val="14"/>
          </w:rPr>
          <w:t>scholasticism</w:t>
        </w:r>
      </w:hyperlink>
      <w:r>
        <w:rPr>
          <w:rFonts w:ascii="Arial" w:hAnsi="Arial" w:cs="Arial"/>
          <w:color w:val="252525"/>
          <w:sz w:val="14"/>
          <w:szCs w:val="14"/>
        </w:rPr>
        <w:t>, within which he is also known as the "Doctor Angelicus" and "Doctor Communis".</w:t>
      </w:r>
      <w:hyperlink r:id="rId140" w:anchor="cite_note-5" w:history="1">
        <w:r>
          <w:rPr>
            <w:rStyle w:val="a6"/>
            <w:rFonts w:ascii="Arial" w:hAnsi="Arial" w:cs="Arial"/>
            <w:color w:val="0B0080"/>
            <w:sz w:val="11"/>
            <w:szCs w:val="11"/>
            <w:vertAlign w:val="superscript"/>
          </w:rPr>
          <w:t>[5]</w:t>
        </w:r>
      </w:hyperlink>
      <w:r>
        <w:rPr>
          <w:rStyle w:val="apple-converted-space"/>
          <w:rFonts w:ascii="Arial" w:hAnsi="Arial" w:cs="Arial"/>
          <w:color w:val="252525"/>
          <w:sz w:val="14"/>
          <w:szCs w:val="14"/>
        </w:rPr>
        <w:t> </w:t>
      </w:r>
      <w:r>
        <w:rPr>
          <w:rFonts w:ascii="Arial" w:hAnsi="Arial" w:cs="Arial"/>
          <w:color w:val="252525"/>
          <w:sz w:val="14"/>
          <w:szCs w:val="14"/>
        </w:rPr>
        <w:t>The name "Aquinas" identifies his ancestral origins in the county of</w:t>
      </w:r>
      <w:r>
        <w:rPr>
          <w:rStyle w:val="apple-converted-space"/>
          <w:rFonts w:ascii="Arial" w:hAnsi="Arial" w:cs="Arial"/>
          <w:color w:val="252525"/>
          <w:sz w:val="14"/>
          <w:szCs w:val="14"/>
        </w:rPr>
        <w:t> </w:t>
      </w:r>
      <w:hyperlink r:id="rId141" w:tooltip="Aquino, Italy" w:history="1">
        <w:r>
          <w:rPr>
            <w:rStyle w:val="a6"/>
            <w:rFonts w:ascii="Arial" w:hAnsi="Arial" w:cs="Arial"/>
            <w:color w:val="0B0080"/>
            <w:sz w:val="14"/>
            <w:szCs w:val="14"/>
          </w:rPr>
          <w:t>Aquino</w:t>
        </w:r>
      </w:hyperlink>
      <w:r>
        <w:rPr>
          <w:rStyle w:val="apple-converted-space"/>
          <w:rFonts w:ascii="Arial" w:hAnsi="Arial" w:cs="Arial"/>
          <w:color w:val="252525"/>
          <w:sz w:val="14"/>
          <w:szCs w:val="14"/>
        </w:rPr>
        <w:t> </w:t>
      </w:r>
      <w:r>
        <w:rPr>
          <w:rFonts w:ascii="Arial" w:hAnsi="Arial" w:cs="Arial"/>
          <w:color w:val="252525"/>
          <w:sz w:val="14"/>
          <w:szCs w:val="14"/>
        </w:rPr>
        <w:t>(in the present-day</w:t>
      </w:r>
      <w:r>
        <w:rPr>
          <w:rStyle w:val="apple-converted-space"/>
          <w:rFonts w:ascii="Arial" w:hAnsi="Arial" w:cs="Arial"/>
          <w:color w:val="252525"/>
          <w:sz w:val="14"/>
          <w:szCs w:val="14"/>
        </w:rPr>
        <w:t> </w:t>
      </w:r>
      <w:hyperlink r:id="rId142" w:tooltip="Lazio" w:history="1">
        <w:r>
          <w:rPr>
            <w:rStyle w:val="a6"/>
            <w:rFonts w:ascii="Arial" w:hAnsi="Arial" w:cs="Arial"/>
            <w:color w:val="0B0080"/>
            <w:sz w:val="14"/>
            <w:szCs w:val="14"/>
          </w:rPr>
          <w:t>Lazio</w:t>
        </w:r>
      </w:hyperlink>
      <w:r>
        <w:rPr>
          <w:rFonts w:ascii="Arial" w:hAnsi="Arial" w:cs="Arial"/>
          <w:color w:val="252525"/>
          <w:sz w:val="14"/>
          <w:szCs w:val="14"/>
        </w:rPr>
        <w:t>region), an area where his family held land until 1137.</w:t>
      </w:r>
      <w:r>
        <w:rPr>
          <w:rFonts w:ascii="Arial" w:hAnsi="Arial" w:cs="Arial"/>
          <w:color w:val="252525"/>
          <w:sz w:val="11"/>
          <w:szCs w:val="11"/>
          <w:vertAlign w:val="superscript"/>
        </w:rPr>
        <w:t>[</w:t>
      </w:r>
      <w:hyperlink r:id="rId143" w:tooltip="Wikipedia:Citation needed" w:history="1">
        <w:r>
          <w:rPr>
            <w:rStyle w:val="a6"/>
            <w:rFonts w:ascii="Arial" w:hAnsi="Arial" w:cs="Arial"/>
            <w:i/>
            <w:iCs/>
            <w:color w:val="0B0080"/>
            <w:sz w:val="11"/>
            <w:szCs w:val="11"/>
            <w:vertAlign w:val="superscript"/>
          </w:rPr>
          <w:t>citation needed</w:t>
        </w:r>
      </w:hyperlink>
      <w:r>
        <w:rPr>
          <w:rFonts w:ascii="Arial" w:hAnsi="Arial" w:cs="Arial"/>
          <w:color w:val="252525"/>
          <w:sz w:val="11"/>
          <w:szCs w:val="11"/>
          <w:vertAlign w:val="superscript"/>
        </w:rPr>
        <w:t>]</w:t>
      </w:r>
    </w:p>
    <w:p w:rsidR="005F7438" w:rsidRDefault="005F7438" w:rsidP="005F7438">
      <w:pPr>
        <w:pStyle w:val="a7"/>
        <w:shd w:val="clear" w:color="auto" w:fill="FFFFFF"/>
        <w:spacing w:before="120" w:beforeAutospacing="0" w:after="120" w:afterAutospacing="0" w:line="224" w:lineRule="atLeast"/>
        <w:rPr>
          <w:rFonts w:ascii="Arial" w:hAnsi="Arial" w:cs="Arial"/>
          <w:color w:val="252525"/>
          <w:sz w:val="14"/>
          <w:szCs w:val="14"/>
        </w:rPr>
      </w:pPr>
      <w:r>
        <w:rPr>
          <w:rFonts w:ascii="Arial" w:hAnsi="Arial" w:cs="Arial"/>
          <w:color w:val="252525"/>
          <w:sz w:val="14"/>
          <w:szCs w:val="14"/>
        </w:rPr>
        <w:t>He was the foremost classical proponent of</w:t>
      </w:r>
      <w:r>
        <w:rPr>
          <w:rStyle w:val="apple-converted-space"/>
          <w:rFonts w:ascii="Arial" w:hAnsi="Arial" w:cs="Arial"/>
          <w:color w:val="252525"/>
          <w:sz w:val="14"/>
          <w:szCs w:val="14"/>
        </w:rPr>
        <w:t> </w:t>
      </w:r>
      <w:hyperlink r:id="rId144" w:tooltip="Natural theology" w:history="1">
        <w:r>
          <w:rPr>
            <w:rStyle w:val="a6"/>
            <w:rFonts w:ascii="Arial" w:hAnsi="Arial" w:cs="Arial"/>
            <w:color w:val="0B0080"/>
            <w:sz w:val="14"/>
            <w:szCs w:val="14"/>
          </w:rPr>
          <w:t>natural theology</w:t>
        </w:r>
      </w:hyperlink>
      <w:r>
        <w:rPr>
          <w:rStyle w:val="apple-converted-space"/>
          <w:rFonts w:ascii="Arial" w:hAnsi="Arial" w:cs="Arial"/>
          <w:color w:val="252525"/>
          <w:sz w:val="14"/>
          <w:szCs w:val="14"/>
        </w:rPr>
        <w:t> </w:t>
      </w:r>
      <w:r>
        <w:rPr>
          <w:rFonts w:ascii="Arial" w:hAnsi="Arial" w:cs="Arial"/>
          <w:color w:val="252525"/>
          <w:sz w:val="14"/>
          <w:szCs w:val="14"/>
        </w:rPr>
        <w:t>and the father of</w:t>
      </w:r>
      <w:r>
        <w:rPr>
          <w:rStyle w:val="apple-converted-space"/>
          <w:rFonts w:ascii="Arial" w:hAnsi="Arial" w:cs="Arial"/>
          <w:color w:val="252525"/>
          <w:sz w:val="14"/>
          <w:szCs w:val="14"/>
        </w:rPr>
        <w:t> </w:t>
      </w:r>
      <w:hyperlink r:id="rId145" w:tooltip="Thomism" w:history="1">
        <w:r>
          <w:rPr>
            <w:rStyle w:val="a6"/>
            <w:rFonts w:ascii="Arial" w:hAnsi="Arial" w:cs="Arial"/>
            <w:color w:val="0B0080"/>
            <w:sz w:val="14"/>
            <w:szCs w:val="14"/>
          </w:rPr>
          <w:t>Thomism</w:t>
        </w:r>
      </w:hyperlink>
      <w:r>
        <w:rPr>
          <w:rFonts w:ascii="Arial" w:hAnsi="Arial" w:cs="Arial"/>
          <w:color w:val="252525"/>
          <w:sz w:val="14"/>
          <w:szCs w:val="14"/>
        </w:rPr>
        <w:t>. His influence on Western thought is considerable, and much of</w:t>
      </w:r>
      <w:r>
        <w:rPr>
          <w:rStyle w:val="apple-converted-space"/>
          <w:rFonts w:ascii="Arial" w:hAnsi="Arial" w:cs="Arial"/>
          <w:color w:val="252525"/>
          <w:sz w:val="14"/>
          <w:szCs w:val="14"/>
        </w:rPr>
        <w:t> </w:t>
      </w:r>
      <w:hyperlink r:id="rId146" w:tooltip="Modern philosophy" w:history="1">
        <w:r>
          <w:rPr>
            <w:rStyle w:val="a6"/>
            <w:rFonts w:ascii="Arial" w:hAnsi="Arial" w:cs="Arial"/>
            <w:color w:val="0B0080"/>
            <w:sz w:val="14"/>
            <w:szCs w:val="14"/>
          </w:rPr>
          <w:t>modern philosophy</w:t>
        </w:r>
      </w:hyperlink>
      <w:r>
        <w:rPr>
          <w:rStyle w:val="apple-converted-space"/>
          <w:rFonts w:ascii="Arial" w:hAnsi="Arial" w:cs="Arial"/>
          <w:color w:val="252525"/>
          <w:sz w:val="14"/>
          <w:szCs w:val="14"/>
        </w:rPr>
        <w:t> </w:t>
      </w:r>
      <w:r>
        <w:rPr>
          <w:rFonts w:ascii="Arial" w:hAnsi="Arial" w:cs="Arial"/>
          <w:color w:val="252525"/>
          <w:sz w:val="14"/>
          <w:szCs w:val="14"/>
        </w:rPr>
        <w:t>developed or opposed his ideas, particularly in the areas of ethics,</w:t>
      </w:r>
      <w:r>
        <w:rPr>
          <w:rStyle w:val="apple-converted-space"/>
          <w:rFonts w:ascii="Arial" w:hAnsi="Arial" w:cs="Arial"/>
          <w:color w:val="252525"/>
          <w:sz w:val="14"/>
          <w:szCs w:val="14"/>
        </w:rPr>
        <w:t> </w:t>
      </w:r>
      <w:hyperlink r:id="rId147" w:tooltip="Natural law" w:history="1">
        <w:r>
          <w:rPr>
            <w:rStyle w:val="a6"/>
            <w:rFonts w:ascii="Arial" w:hAnsi="Arial" w:cs="Arial"/>
            <w:color w:val="0B0080"/>
            <w:sz w:val="14"/>
            <w:szCs w:val="14"/>
          </w:rPr>
          <w:t>natural law</w:t>
        </w:r>
      </w:hyperlink>
      <w:r>
        <w:rPr>
          <w:rFonts w:ascii="Arial" w:hAnsi="Arial" w:cs="Arial"/>
          <w:color w:val="252525"/>
          <w:sz w:val="14"/>
          <w:szCs w:val="14"/>
        </w:rPr>
        <w:t>, metaphysics, and political theory. Unlike many currents in the Church of the time,</w:t>
      </w:r>
      <w:hyperlink r:id="rId148" w:anchor="cite_note-6" w:history="1">
        <w:r>
          <w:rPr>
            <w:rStyle w:val="a6"/>
            <w:rFonts w:ascii="Arial" w:hAnsi="Arial" w:cs="Arial"/>
            <w:color w:val="0B0080"/>
            <w:sz w:val="11"/>
            <w:szCs w:val="11"/>
            <w:vertAlign w:val="superscript"/>
          </w:rPr>
          <w:t>[6]</w:t>
        </w:r>
      </w:hyperlink>
      <w:r>
        <w:rPr>
          <w:rFonts w:ascii="Arial" w:hAnsi="Arial" w:cs="Arial"/>
          <w:color w:val="252525"/>
          <w:sz w:val="14"/>
          <w:szCs w:val="14"/>
        </w:rPr>
        <w:t>Thomas embraced several ideas put forward by Aristotle—whom he called "the Philosopher"—and attempted to synthesize</w:t>
      </w:r>
      <w:r>
        <w:rPr>
          <w:rStyle w:val="apple-converted-space"/>
          <w:rFonts w:ascii="Arial" w:hAnsi="Arial" w:cs="Arial"/>
          <w:color w:val="252525"/>
          <w:sz w:val="14"/>
          <w:szCs w:val="14"/>
        </w:rPr>
        <w:t> </w:t>
      </w:r>
      <w:hyperlink r:id="rId149" w:tooltip="Aristotelianism" w:history="1">
        <w:r>
          <w:rPr>
            <w:rStyle w:val="a6"/>
            <w:rFonts w:ascii="Arial" w:hAnsi="Arial" w:cs="Arial"/>
            <w:color w:val="0B0080"/>
            <w:sz w:val="14"/>
            <w:szCs w:val="14"/>
          </w:rPr>
          <w:t>Aristotelian philosophy</w:t>
        </w:r>
      </w:hyperlink>
      <w:r>
        <w:rPr>
          <w:rStyle w:val="apple-converted-space"/>
          <w:rFonts w:ascii="Arial" w:hAnsi="Arial" w:cs="Arial"/>
          <w:color w:val="252525"/>
          <w:sz w:val="14"/>
          <w:szCs w:val="14"/>
        </w:rPr>
        <w:t> </w:t>
      </w:r>
      <w:r>
        <w:rPr>
          <w:rFonts w:ascii="Arial" w:hAnsi="Arial" w:cs="Arial"/>
          <w:color w:val="252525"/>
          <w:sz w:val="14"/>
          <w:szCs w:val="14"/>
        </w:rPr>
        <w:t>with the principles of Christianity.</w:t>
      </w:r>
      <w:hyperlink r:id="rId150" w:anchor="cite_note-7" w:history="1">
        <w:r>
          <w:rPr>
            <w:rStyle w:val="a6"/>
            <w:rFonts w:ascii="Arial" w:hAnsi="Arial" w:cs="Arial"/>
            <w:color w:val="0B0080"/>
            <w:sz w:val="11"/>
            <w:szCs w:val="11"/>
            <w:vertAlign w:val="superscript"/>
          </w:rPr>
          <w:t>[7]</w:t>
        </w:r>
      </w:hyperlink>
      <w:r>
        <w:rPr>
          <w:rStyle w:val="apple-converted-space"/>
          <w:rFonts w:ascii="Arial" w:hAnsi="Arial" w:cs="Arial"/>
          <w:color w:val="252525"/>
          <w:sz w:val="14"/>
          <w:szCs w:val="14"/>
        </w:rPr>
        <w:t> </w:t>
      </w:r>
      <w:r>
        <w:rPr>
          <w:rFonts w:ascii="Arial" w:hAnsi="Arial" w:cs="Arial"/>
          <w:color w:val="252525"/>
          <w:sz w:val="14"/>
          <w:szCs w:val="14"/>
        </w:rPr>
        <w:t>The works for which he is best known are the</w:t>
      </w:r>
      <w:r>
        <w:rPr>
          <w:rStyle w:val="apple-converted-space"/>
          <w:rFonts w:ascii="Arial" w:hAnsi="Arial" w:cs="Arial"/>
          <w:color w:val="252525"/>
          <w:sz w:val="14"/>
          <w:szCs w:val="14"/>
        </w:rPr>
        <w:t> </w:t>
      </w:r>
      <w:hyperlink r:id="rId151" w:tooltip="Summa Theologica" w:history="1">
        <w:r>
          <w:rPr>
            <w:rStyle w:val="a6"/>
            <w:rFonts w:ascii="Arial" w:hAnsi="Arial" w:cs="Arial"/>
            <w:i/>
            <w:iCs/>
            <w:color w:val="0B0080"/>
            <w:sz w:val="14"/>
            <w:szCs w:val="14"/>
          </w:rPr>
          <w:t>Summa Theologica</w:t>
        </w:r>
      </w:hyperlink>
      <w:r>
        <w:rPr>
          <w:rStyle w:val="apple-converted-space"/>
          <w:rFonts w:ascii="Arial" w:hAnsi="Arial" w:cs="Arial"/>
          <w:color w:val="252525"/>
          <w:sz w:val="14"/>
          <w:szCs w:val="14"/>
        </w:rPr>
        <w:t> </w:t>
      </w:r>
      <w:r>
        <w:rPr>
          <w:rFonts w:ascii="Arial" w:hAnsi="Arial" w:cs="Arial"/>
          <w:color w:val="252525"/>
          <w:sz w:val="14"/>
          <w:szCs w:val="14"/>
        </w:rPr>
        <w:t>and the</w:t>
      </w:r>
      <w:r>
        <w:rPr>
          <w:rStyle w:val="apple-converted-space"/>
          <w:rFonts w:ascii="Arial" w:hAnsi="Arial" w:cs="Arial"/>
          <w:color w:val="252525"/>
          <w:sz w:val="14"/>
          <w:szCs w:val="14"/>
        </w:rPr>
        <w:t> </w:t>
      </w:r>
      <w:hyperlink r:id="rId152" w:tooltip="Summa contra Gentiles" w:history="1">
        <w:r>
          <w:rPr>
            <w:rStyle w:val="a6"/>
            <w:rFonts w:ascii="Arial" w:hAnsi="Arial" w:cs="Arial"/>
            <w:i/>
            <w:iCs/>
            <w:color w:val="0B0080"/>
            <w:sz w:val="14"/>
            <w:szCs w:val="14"/>
          </w:rPr>
          <w:t>Summa contra Gentiles</w:t>
        </w:r>
      </w:hyperlink>
      <w:r>
        <w:rPr>
          <w:rFonts w:ascii="Arial" w:hAnsi="Arial" w:cs="Arial"/>
          <w:color w:val="252525"/>
          <w:sz w:val="14"/>
          <w:szCs w:val="14"/>
        </w:rPr>
        <w:t>. His commentaries on Sacred</w:t>
      </w:r>
      <w:r>
        <w:rPr>
          <w:rStyle w:val="apple-converted-space"/>
          <w:rFonts w:ascii="Arial" w:hAnsi="Arial" w:cs="Arial"/>
          <w:color w:val="252525"/>
          <w:sz w:val="14"/>
          <w:szCs w:val="14"/>
        </w:rPr>
        <w:t> </w:t>
      </w:r>
      <w:hyperlink r:id="rId153" w:tooltip="Scripture" w:history="1">
        <w:r>
          <w:rPr>
            <w:rStyle w:val="a6"/>
            <w:rFonts w:ascii="Arial" w:hAnsi="Arial" w:cs="Arial"/>
            <w:color w:val="0B0080"/>
            <w:sz w:val="14"/>
            <w:szCs w:val="14"/>
          </w:rPr>
          <w:t>Scripture</w:t>
        </w:r>
      </w:hyperlink>
      <w:r>
        <w:rPr>
          <w:rStyle w:val="apple-converted-space"/>
          <w:rFonts w:ascii="Arial" w:hAnsi="Arial" w:cs="Arial"/>
          <w:color w:val="252525"/>
          <w:sz w:val="14"/>
          <w:szCs w:val="14"/>
        </w:rPr>
        <w:t> </w:t>
      </w:r>
      <w:r>
        <w:rPr>
          <w:rFonts w:ascii="Arial" w:hAnsi="Arial" w:cs="Arial"/>
          <w:color w:val="252525"/>
          <w:sz w:val="14"/>
          <w:szCs w:val="14"/>
        </w:rPr>
        <w:t>and on Aristotle form an important part of his body of work. Furthermore, Thomas is distinguished for his eucharistic hymns, which form a part of the Church's liturgy.</w:t>
      </w:r>
      <w:hyperlink r:id="rId154" w:anchor="cite_note-8" w:history="1">
        <w:r>
          <w:rPr>
            <w:rStyle w:val="a6"/>
            <w:rFonts w:ascii="Arial" w:hAnsi="Arial" w:cs="Arial"/>
            <w:color w:val="0B0080"/>
            <w:sz w:val="11"/>
            <w:szCs w:val="11"/>
            <w:vertAlign w:val="superscript"/>
          </w:rPr>
          <w:t>[8]</w:t>
        </w:r>
      </w:hyperlink>
    </w:p>
    <w:p w:rsidR="005F7438" w:rsidRDefault="005F7438" w:rsidP="005F7438">
      <w:pPr>
        <w:pStyle w:val="a7"/>
        <w:shd w:val="clear" w:color="auto" w:fill="FFFFFF"/>
        <w:spacing w:before="120" w:beforeAutospacing="0" w:after="120" w:afterAutospacing="0" w:line="224" w:lineRule="atLeast"/>
        <w:rPr>
          <w:rFonts w:ascii="Arial" w:hAnsi="Arial" w:cs="Arial"/>
          <w:color w:val="252525"/>
          <w:sz w:val="14"/>
          <w:szCs w:val="14"/>
        </w:rPr>
      </w:pPr>
      <w:r>
        <w:rPr>
          <w:rFonts w:ascii="Arial" w:hAnsi="Arial" w:cs="Arial"/>
          <w:color w:val="252525"/>
          <w:sz w:val="14"/>
          <w:szCs w:val="14"/>
        </w:rPr>
        <w:t>The</w:t>
      </w:r>
      <w:r>
        <w:rPr>
          <w:rStyle w:val="apple-converted-space"/>
          <w:rFonts w:ascii="Arial" w:hAnsi="Arial" w:cs="Arial"/>
          <w:color w:val="252525"/>
          <w:sz w:val="14"/>
          <w:szCs w:val="14"/>
        </w:rPr>
        <w:t> </w:t>
      </w:r>
      <w:hyperlink r:id="rId155" w:tooltip="Catholic Church" w:history="1">
        <w:r>
          <w:rPr>
            <w:rStyle w:val="a6"/>
            <w:rFonts w:ascii="Arial" w:hAnsi="Arial" w:cs="Arial"/>
            <w:color w:val="0B0080"/>
            <w:sz w:val="14"/>
            <w:szCs w:val="14"/>
          </w:rPr>
          <w:t>Catholic Church</w:t>
        </w:r>
      </w:hyperlink>
      <w:r>
        <w:rPr>
          <w:rStyle w:val="apple-converted-space"/>
          <w:rFonts w:ascii="Arial" w:hAnsi="Arial" w:cs="Arial"/>
          <w:color w:val="252525"/>
          <w:sz w:val="14"/>
          <w:szCs w:val="14"/>
        </w:rPr>
        <w:t> </w:t>
      </w:r>
      <w:r>
        <w:rPr>
          <w:rFonts w:ascii="Arial" w:hAnsi="Arial" w:cs="Arial"/>
          <w:color w:val="252525"/>
          <w:sz w:val="14"/>
          <w:szCs w:val="14"/>
        </w:rPr>
        <w:t>honors Thomas Aquinas as a</w:t>
      </w:r>
      <w:r>
        <w:rPr>
          <w:rStyle w:val="apple-converted-space"/>
          <w:rFonts w:ascii="Arial" w:hAnsi="Arial" w:cs="Arial"/>
          <w:color w:val="252525"/>
          <w:sz w:val="14"/>
          <w:szCs w:val="14"/>
        </w:rPr>
        <w:t> </w:t>
      </w:r>
      <w:hyperlink r:id="rId156" w:tooltip="Saint" w:history="1">
        <w:r>
          <w:rPr>
            <w:rStyle w:val="a6"/>
            <w:rFonts w:ascii="Arial" w:hAnsi="Arial" w:cs="Arial"/>
            <w:color w:val="0B0080"/>
            <w:sz w:val="14"/>
            <w:szCs w:val="14"/>
          </w:rPr>
          <w:t>saint</w:t>
        </w:r>
      </w:hyperlink>
      <w:r>
        <w:rPr>
          <w:rFonts w:ascii="Arial" w:hAnsi="Arial" w:cs="Arial"/>
          <w:color w:val="252525"/>
          <w:sz w:val="14"/>
          <w:szCs w:val="14"/>
        </w:rPr>
        <w:t>and regards him as the model teacher for those studying for the priesthood, and indeed the highest expression of both</w:t>
      </w:r>
      <w:r>
        <w:rPr>
          <w:rStyle w:val="apple-converted-space"/>
          <w:rFonts w:ascii="Arial" w:hAnsi="Arial" w:cs="Arial"/>
          <w:color w:val="252525"/>
          <w:sz w:val="14"/>
          <w:szCs w:val="14"/>
        </w:rPr>
        <w:t> </w:t>
      </w:r>
      <w:hyperlink r:id="rId157" w:tooltip="Philosophy" w:history="1">
        <w:r>
          <w:rPr>
            <w:rStyle w:val="a6"/>
            <w:rFonts w:ascii="Arial" w:hAnsi="Arial" w:cs="Arial"/>
            <w:color w:val="0B0080"/>
            <w:sz w:val="14"/>
            <w:szCs w:val="14"/>
          </w:rPr>
          <w:t>natural reason</w:t>
        </w:r>
      </w:hyperlink>
      <w:r>
        <w:rPr>
          <w:rStyle w:val="apple-converted-space"/>
          <w:rFonts w:ascii="Arial" w:hAnsi="Arial" w:cs="Arial"/>
          <w:color w:val="252525"/>
          <w:sz w:val="14"/>
          <w:szCs w:val="14"/>
        </w:rPr>
        <w:t> </w:t>
      </w:r>
      <w:r>
        <w:rPr>
          <w:rFonts w:ascii="Arial" w:hAnsi="Arial" w:cs="Arial"/>
          <w:color w:val="252525"/>
          <w:sz w:val="14"/>
          <w:szCs w:val="14"/>
        </w:rPr>
        <w:t>and speculative</w:t>
      </w:r>
      <w:r>
        <w:rPr>
          <w:rStyle w:val="apple-converted-space"/>
          <w:rFonts w:ascii="Arial" w:hAnsi="Arial" w:cs="Arial"/>
          <w:color w:val="252525"/>
          <w:sz w:val="14"/>
          <w:szCs w:val="14"/>
        </w:rPr>
        <w:t> </w:t>
      </w:r>
      <w:hyperlink r:id="rId158" w:tooltip="Theology" w:history="1">
        <w:r>
          <w:rPr>
            <w:rStyle w:val="a6"/>
            <w:rFonts w:ascii="Arial" w:hAnsi="Arial" w:cs="Arial"/>
            <w:color w:val="0B0080"/>
            <w:sz w:val="14"/>
            <w:szCs w:val="14"/>
          </w:rPr>
          <w:t>theology</w:t>
        </w:r>
      </w:hyperlink>
      <w:r>
        <w:rPr>
          <w:rFonts w:ascii="Arial" w:hAnsi="Arial" w:cs="Arial"/>
          <w:color w:val="252525"/>
          <w:sz w:val="14"/>
          <w:szCs w:val="14"/>
        </w:rPr>
        <w:t>. In modern times, under papal directives, the study of his works was long used as a core of the required program of study for those seeking ordination as priests or deacons, as well as for those in religious formation and for other students of the sacred disciplines (philosophy, Catholic theology, church history, liturgy, and</w:t>
      </w:r>
      <w:r>
        <w:rPr>
          <w:rStyle w:val="apple-converted-space"/>
          <w:rFonts w:ascii="Arial" w:hAnsi="Arial" w:cs="Arial"/>
          <w:color w:val="252525"/>
          <w:sz w:val="14"/>
          <w:szCs w:val="14"/>
        </w:rPr>
        <w:t> </w:t>
      </w:r>
      <w:hyperlink r:id="rId159" w:tooltip="Canon law (Catholic Church)" w:history="1">
        <w:r>
          <w:rPr>
            <w:rStyle w:val="a6"/>
            <w:rFonts w:ascii="Arial" w:hAnsi="Arial" w:cs="Arial"/>
            <w:color w:val="0B0080"/>
            <w:sz w:val="14"/>
            <w:szCs w:val="14"/>
          </w:rPr>
          <w:t>canon law</w:t>
        </w:r>
      </w:hyperlink>
      <w:r>
        <w:rPr>
          <w:rFonts w:ascii="Arial" w:hAnsi="Arial" w:cs="Arial"/>
          <w:color w:val="252525"/>
          <w:sz w:val="14"/>
          <w:szCs w:val="14"/>
        </w:rPr>
        <w:t>).</w:t>
      </w:r>
      <w:hyperlink r:id="rId160" w:anchor="cite_note-9" w:history="1">
        <w:r>
          <w:rPr>
            <w:rStyle w:val="a6"/>
            <w:rFonts w:ascii="Arial" w:hAnsi="Arial" w:cs="Arial"/>
            <w:color w:val="0B0080"/>
            <w:sz w:val="11"/>
            <w:szCs w:val="11"/>
            <w:vertAlign w:val="superscript"/>
          </w:rPr>
          <w:t>[9]</w:t>
        </w:r>
      </w:hyperlink>
    </w:p>
    <w:p w:rsidR="005F7438" w:rsidRDefault="005F7438" w:rsidP="005F7438">
      <w:pPr>
        <w:pStyle w:val="a7"/>
        <w:shd w:val="clear" w:color="auto" w:fill="FFFFFF"/>
        <w:spacing w:before="120" w:beforeAutospacing="0" w:after="120" w:afterAutospacing="0" w:line="224" w:lineRule="atLeast"/>
        <w:rPr>
          <w:rFonts w:ascii="Arial" w:hAnsi="Arial" w:cs="Arial"/>
          <w:color w:val="252525"/>
          <w:sz w:val="14"/>
          <w:szCs w:val="14"/>
        </w:rPr>
      </w:pPr>
      <w:r>
        <w:rPr>
          <w:rFonts w:ascii="Arial" w:hAnsi="Arial" w:cs="Arial"/>
          <w:color w:val="252525"/>
          <w:sz w:val="14"/>
          <w:szCs w:val="14"/>
        </w:rPr>
        <w:t>Also honored as a</w:t>
      </w:r>
      <w:r>
        <w:rPr>
          <w:rStyle w:val="apple-converted-space"/>
          <w:rFonts w:ascii="Arial" w:hAnsi="Arial" w:cs="Arial"/>
          <w:color w:val="252525"/>
          <w:sz w:val="14"/>
          <w:szCs w:val="14"/>
        </w:rPr>
        <w:t> </w:t>
      </w:r>
      <w:hyperlink r:id="rId161" w:tooltip="Doctor of the Church" w:history="1">
        <w:r>
          <w:rPr>
            <w:rStyle w:val="a6"/>
            <w:rFonts w:ascii="Arial" w:hAnsi="Arial" w:cs="Arial"/>
            <w:color w:val="0B0080"/>
            <w:sz w:val="14"/>
            <w:szCs w:val="14"/>
          </w:rPr>
          <w:t>Doctor of the Church</w:t>
        </w:r>
      </w:hyperlink>
      <w:r>
        <w:rPr>
          <w:rFonts w:ascii="Arial" w:hAnsi="Arial" w:cs="Arial"/>
          <w:color w:val="252525"/>
          <w:sz w:val="14"/>
          <w:szCs w:val="14"/>
        </w:rPr>
        <w:t>, Thomas is considered the Catholic Church's greatest theologian and philosopher.</w:t>
      </w:r>
      <w:r>
        <w:rPr>
          <w:rStyle w:val="apple-converted-space"/>
          <w:rFonts w:ascii="Arial" w:hAnsi="Arial" w:cs="Arial"/>
          <w:color w:val="252525"/>
          <w:sz w:val="14"/>
          <w:szCs w:val="14"/>
        </w:rPr>
        <w:t> </w:t>
      </w:r>
      <w:hyperlink r:id="rId162" w:tooltip="Pope Benedict XV" w:history="1">
        <w:r>
          <w:rPr>
            <w:rStyle w:val="a6"/>
            <w:rFonts w:ascii="Arial" w:hAnsi="Arial" w:cs="Arial"/>
            <w:color w:val="0B0080"/>
            <w:sz w:val="14"/>
            <w:szCs w:val="14"/>
          </w:rPr>
          <w:t>Pope Benedict XV</w:t>
        </w:r>
      </w:hyperlink>
      <w:r>
        <w:rPr>
          <w:rStyle w:val="apple-converted-space"/>
          <w:rFonts w:ascii="Arial" w:hAnsi="Arial" w:cs="Arial"/>
          <w:color w:val="252525"/>
          <w:sz w:val="14"/>
          <w:szCs w:val="14"/>
        </w:rPr>
        <w:t> </w:t>
      </w:r>
      <w:r>
        <w:rPr>
          <w:rFonts w:ascii="Arial" w:hAnsi="Arial" w:cs="Arial"/>
          <w:color w:val="252525"/>
          <w:sz w:val="14"/>
          <w:szCs w:val="14"/>
        </w:rPr>
        <w:t>declared: "This (Dominican) Order ... acquired new luster when the Church declared the teaching of Thomas to be her own and that Doctor, honored with the special praises of the Pontiffs, the master and patron of Catholic schools.</w:t>
      </w:r>
    </w:p>
    <w:p w:rsidR="005F7438" w:rsidRPr="005F7438" w:rsidRDefault="005F7438" w:rsidP="00F84A76">
      <w:pPr>
        <w:pStyle w:val="aa"/>
        <w:rPr>
          <w:rFonts w:ascii="Times New Roman" w:hAnsi="Times New Roman"/>
          <w:sz w:val="20"/>
          <w:szCs w:val="20"/>
        </w:rPr>
      </w:pPr>
    </w:p>
    <w:p w:rsidR="00510389" w:rsidRDefault="00510389" w:rsidP="00F84A76">
      <w:pPr>
        <w:pStyle w:val="aa"/>
        <w:rPr>
          <w:rFonts w:ascii="Times New Roman" w:hAnsi="Times New Roman"/>
          <w:sz w:val="20"/>
          <w:szCs w:val="20"/>
        </w:rPr>
      </w:pPr>
      <w:r>
        <w:rPr>
          <w:rFonts w:ascii="Times New Roman" w:hAnsi="Times New Roman" w:hint="eastAsia"/>
          <w:sz w:val="20"/>
          <w:szCs w:val="20"/>
        </w:rPr>
        <w:t>4 fold sense</w:t>
      </w:r>
    </w:p>
    <w:p w:rsidR="00510389" w:rsidRPr="005249AC" w:rsidRDefault="00510389" w:rsidP="00F84A76">
      <w:pPr>
        <w:pStyle w:val="aa"/>
        <w:rPr>
          <w:rFonts w:ascii="Times New Roman" w:hAnsi="Times New Roman"/>
          <w:sz w:val="20"/>
          <w:szCs w:val="20"/>
        </w:rPr>
      </w:pPr>
    </w:p>
    <w:p w:rsidR="00F84A76" w:rsidRPr="005249AC" w:rsidRDefault="00F84A76" w:rsidP="00F84A76">
      <w:pPr>
        <w:pStyle w:val="aa"/>
        <w:rPr>
          <w:rFonts w:ascii="Times New Roman" w:hAnsi="Times New Roman"/>
          <w:sz w:val="20"/>
          <w:szCs w:val="20"/>
        </w:rPr>
      </w:pPr>
      <w:r w:rsidRPr="005249AC">
        <w:rPr>
          <w:rFonts w:ascii="Times New Roman" w:hAnsi="Times New Roman"/>
          <w:sz w:val="20"/>
          <w:szCs w:val="20"/>
        </w:rPr>
        <w:t>Born inthecastleofRoccasecca,nearAquino,Italy,in1225,Thomasstudiedin</w:t>
      </w:r>
    </w:p>
    <w:p w:rsidR="00F84A76" w:rsidRPr="005249AC" w:rsidRDefault="00F84A76" w:rsidP="00F84A76">
      <w:pPr>
        <w:pStyle w:val="aa"/>
        <w:rPr>
          <w:rFonts w:ascii="Times New Roman" w:hAnsi="Times New Roman"/>
          <w:sz w:val="20"/>
          <w:szCs w:val="20"/>
        </w:rPr>
      </w:pPr>
      <w:r w:rsidRPr="005249AC">
        <w:rPr>
          <w:rFonts w:ascii="Times New Roman" w:hAnsi="Times New Roman"/>
          <w:sz w:val="20"/>
          <w:szCs w:val="20"/>
        </w:rPr>
        <w:t>Naples,whereheenteredtheDominicanOrder.HecontinuedhisstudiesinParis</w:t>
      </w:r>
    </w:p>
    <w:p w:rsidR="00F84A76" w:rsidRPr="005249AC" w:rsidRDefault="00F84A76" w:rsidP="00F84A76">
      <w:pPr>
        <w:pStyle w:val="aa"/>
        <w:rPr>
          <w:rFonts w:ascii="Times New Roman" w:hAnsi="Times New Roman"/>
          <w:sz w:val="20"/>
          <w:szCs w:val="20"/>
        </w:rPr>
      </w:pPr>
      <w:r w:rsidRPr="005249AC">
        <w:rPr>
          <w:rFonts w:ascii="Times New Roman" w:hAnsi="Times New Roman"/>
          <w:sz w:val="20"/>
          <w:szCs w:val="20"/>
        </w:rPr>
        <w:t>and Cologne;hetaughtinParisontwooccasions(arareprivilege),aswellasin</w:t>
      </w:r>
    </w:p>
    <w:p w:rsidR="00F84A76" w:rsidRPr="005249AC" w:rsidRDefault="00F84A76" w:rsidP="00F84A76">
      <w:pPr>
        <w:pStyle w:val="aa"/>
        <w:rPr>
          <w:rFonts w:ascii="Times New Roman" w:hAnsi="Times New Roman"/>
          <w:sz w:val="20"/>
          <w:szCs w:val="20"/>
        </w:rPr>
      </w:pPr>
      <w:r w:rsidRPr="005249AC">
        <w:rPr>
          <w:rFonts w:ascii="Times New Roman" w:hAnsi="Times New Roman"/>
          <w:sz w:val="20"/>
          <w:szCs w:val="20"/>
        </w:rPr>
        <w:t>the papalcourt.Thomasdiedin1274,onhiswaytotheSecondCouncilofLyon.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sz w:val="20"/>
          <w:szCs w:val="20"/>
        </w:rPr>
        <w:t>He</w:t>
      </w:r>
      <w:r w:rsidRPr="005249AC">
        <w:rPr>
          <w:rFonts w:ascii="Times New Roman" w:hAnsi="Times New Roman"/>
          <w:color w:val="000000"/>
          <w:sz w:val="20"/>
          <w:szCs w:val="20"/>
        </w:rPr>
        <w:t xml:space="preserve"> wrotecommentariesonAristotle,theHolyScripture,PeterLombard,and</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others. Thomasalsoproducedsomemostremarkableworksofhisown,including</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 Summa contragentiles and the Summa Theologiae.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In aprayerthatisattributedtohim,ThomasasksGodtogranthimskillin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interpretation(interpretandisubtilitas), whichisthehermeneut’s virtue.Inhisown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approachtointerpretation,Aquinaslooks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rst totheliteralsenseofthetext,to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HERMENEUTICSINMEDIEVALTHOUGHT</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29</w:t>
      </w:r>
    </w:p>
    <w:p w:rsidR="00F84A76" w:rsidRPr="005249AC" w:rsidRDefault="00F84A76" w:rsidP="00F84A76">
      <w:pPr>
        <w:pStyle w:val="aa"/>
        <w:rPr>
          <w:rFonts w:ascii="Times New Roman" w:hAnsi="Times New Roman"/>
          <w:color w:val="C1C1C1"/>
          <w:sz w:val="20"/>
          <w:szCs w:val="20"/>
        </w:rPr>
      </w:pPr>
      <w:r w:rsidRPr="005249AC">
        <w:rPr>
          <w:rFonts w:ascii="Times New Roman" w:hAnsi="Times New Roman"/>
          <w:color w:val="C1C1C1"/>
          <w:sz w:val="20"/>
          <w:szCs w:val="20"/>
        </w:rPr>
        <w:t>Downloaded By: 192.168.0.15 At: 15:47 07 Apr 2016; For: 9781315771854, chapter2, 10.4324/9781315771854.ch2</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which hedevotesconsiderablelabour,andthenpassesontotheotherhiddenor</w:t>
      </w:r>
    </w:p>
    <w:p w:rsidR="00F84A76" w:rsidRPr="005249AC" w:rsidRDefault="00F84A76" w:rsidP="00F84A76">
      <w:pPr>
        <w:pStyle w:val="aa"/>
        <w:rPr>
          <w:rFonts w:ascii="Times New Roman" w:hAnsi="Times New Roman"/>
          <w:color w:val="000000"/>
          <w:sz w:val="20"/>
          <w:szCs w:val="20"/>
        </w:rPr>
      </w:pP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gurativesenses.InhiscommentariesonAristotle,hedrawsupontheliteralsense,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throughtheideaoftheauthor’s intention,the intentioauctoris, andinhisreadingof</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the HolyScriptureaddstothisthe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gurativeorspiritualsense.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Already inthe Summa Theologiae, Thomasaskshimselfwhethertheologymayuse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metaphors,andifawordmayhaveseveralsenses(Aquinas1951,I,q.I,aa.9&amp;10).</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Since theyspeakaboutthespiritualthroughitssimilaritywiththecorporeal,</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Thomasarguesthatmetaphorisacceptable,andhealsoacknowledgestheexistence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of variousmeaningsinScripture,onthegroundsthatGod,asitsdivineauthor,can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make things,andnotonlyvoices,signify(Aquinas1951,I,q.I,a.10,c).Thomas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lastRenderedPageBreak/>
        <w:t>then dividesthespiritualsenseinthree:(i) allegorical, accordingtowhichwhat</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appearsintheOldTestamentare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gures fortheNew;(ii) moral, accordingtowhich</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what Christdoesisasignofwhatweshoulddo;and(iii) anagogical, accordingto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which whatappearsintheNewTestamentare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guresforthosethatoccurinthe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EternalGlory.Thesespiritualsenses,takentogetherwiththeliteral,makeupthe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four sensestobefoundinScripture.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AlthoughAquinasholdstotheideaofliteralsense,whichhetakestocorrespondto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theauthor’s intention,healsoholdsthatScripturecontainsavarietyofmeaningsand</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doessowithoutfallingintomereequivocation(Aquinas1951,I,q.I,a.10, AD 1m.) –</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thisisbecauseGod,whounderstandseverythingbymeansofthedivineintellect,is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himselftheauthorofScripture(Aquinas1951,I,q.I,a.10, AD 1m.).</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Thomaswasboundtodealwiththealreadyestablisheddistinctionbetweenhis-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torical,aetiological,analogical,andallegoricalmeaning.Forhim,thehistorical,</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etiological,andanalogicalsensesallbelongtothesameliteralsense,sincehistoryis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 simplenarratingofevents,aetiologyisassigningacausetoevents,andanalogy</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enables ustoseehowthetruthofonepassageofScripturedoesnot,appearancesto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 contrary,underminethetruthofanother(Aquinas1951,I,q.I,a.10, AD 2m.).</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What wecalltheparabolicsenseisunderstoodbyThomastobecontainedinthe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literal(Aquinas1951,I,q.I,a.10, AD 3m.).</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Following thecustomoftheUniversityofParis,Thomas’s methodininterpreting</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is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rst tomakea division of thetext,andthentomakeadeclarationofits sense – 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literal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rst andthenthespiritual – accordingtoauthority,butalsocritically.</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He strivesto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nd acentralandguidingideainthetextinquestion – an ideaor</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theme thathereferstoasthe intentiolibri. Theliteralsenseatissueheremaybe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indeterminateandsocompatiblewithmorethanoneinterpretation,andtoitis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added thespiritualsense.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In hiscommentariestothe Sentences of PeterLombard,thegreatmanualof</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theology,Thomas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rst makesthe divisio textus and thenthe expositio textus, being</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fully consciousthatdividingorclassifyingarealreadyinterpreting,whileexposition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is evenmoreso.AlthoughhiscommentariesonAristotlelooktotheliteralsenseof</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 text,Thomaswasnomereliteralist – whathesoughtwasthe intentio Aristotelis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beyond the verba Aristotelis. Inordertoachievethis,Thomasresortedtotextual</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researchandcomparison,andundertookapainstakingformofexegesiswhichpro-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ceededwordbyword.StudyingnotonlythewordsoftheAristoteliantext,butalso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their context,Thomasbasedhisinterpretiveinvestigationonthe principia Aristotelis,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accordingtowhicheachoneoftheStagirite’s textsmustberelatedtotheentire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MAURICIOBEUCHOT</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30</w:t>
      </w:r>
    </w:p>
    <w:p w:rsidR="00F84A76" w:rsidRPr="005249AC" w:rsidRDefault="00F84A76" w:rsidP="00F84A76">
      <w:pPr>
        <w:pStyle w:val="aa"/>
        <w:rPr>
          <w:rFonts w:ascii="Times New Roman" w:hAnsi="Times New Roman"/>
          <w:color w:val="C1C1C1"/>
          <w:sz w:val="20"/>
          <w:szCs w:val="20"/>
        </w:rPr>
      </w:pPr>
      <w:r w:rsidRPr="005249AC">
        <w:rPr>
          <w:rFonts w:ascii="Times New Roman" w:hAnsi="Times New Roman"/>
          <w:color w:val="C1C1C1"/>
          <w:sz w:val="20"/>
          <w:szCs w:val="20"/>
        </w:rPr>
        <w:t>Downloaded By: 192.168.0.15 At: 15:47 07 Apr 2016; For: 9781315771854, chapter2, 10.4324/9781315771854.ch2</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Aristotelian corpus. Moreover,ThomasengagesinacriticaldialoguewithAristotle’s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commentators,writerssuchAverroes,aswellaswithAristotlehimself,thereby</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going beyondthem.Inthisway,ThomascombinedcriticismwithAristotelian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exegesis – dubia circalitteram (doubtsaboutthetext)and Aristotelessuiinterpretaes.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Thomasletstheauthorspeak,recoverstheauthor’s intention,andthenadds</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observationsorre</w:t>
      </w:r>
      <w:r w:rsidRPr="005249AC">
        <w:rPr>
          <w:rFonts w:ascii="Times New Roman" w:eastAsia="AdvOT736a1096+fb" w:hAnsi="Times New Roman"/>
          <w:color w:val="000000"/>
          <w:sz w:val="20"/>
          <w:szCs w:val="20"/>
        </w:rPr>
        <w:t>fl</w:t>
      </w:r>
      <w:r w:rsidRPr="005249AC">
        <w:rPr>
          <w:rFonts w:ascii="Times New Roman" w:hAnsi="Times New Roman"/>
          <w:color w:val="000000"/>
          <w:sz w:val="20"/>
          <w:szCs w:val="20"/>
        </w:rPr>
        <w:t>ections ofhisown,thoughalwayswithmuchdiscretion.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Thomasfollowedtheconventionalmedievalmethodaccordingtowhichreading</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 xml:space="preserve">(lectio) came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 xml:space="preserve">rst, thenmeditation(meditatio), and </w:t>
      </w:r>
      <w:r w:rsidRPr="005249AC">
        <w:rPr>
          <w:rFonts w:ascii="Times New Roman" w:eastAsia="AdvOT736a1096+fb" w:hAnsi="Times New Roman"/>
          <w:color w:val="000000"/>
          <w:sz w:val="20"/>
          <w:szCs w:val="20"/>
        </w:rPr>
        <w:t>fi</w:t>
      </w:r>
      <w:r w:rsidRPr="005249AC">
        <w:rPr>
          <w:rFonts w:ascii="Times New Roman" w:hAnsi="Times New Roman"/>
          <w:color w:val="000000"/>
          <w:sz w:val="20"/>
          <w:szCs w:val="20"/>
        </w:rPr>
        <w:t>nally questioning(quaestio).</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Questionsweretreatedasglosses(interlinearormarginal)orasexposition.Exposi-</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tion couldbebriefandinpassing(cursoria) ormoreleisurely(ordinaria). Onestarted</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with theletterofthetext(littera), passedovertothesense(sensus), andendedinthe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contentoropinion(sententia). Thecontentwasthedeepmeaning,enablingthetrue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comprehensionofthetext.Questionswerebornfromanambiguousword,from</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two contrastingcommentaries,orfromtheoppositionoftwoauthorities.The</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lastRenderedPageBreak/>
        <w:t>quaestio openedthewayforthe disputatio, the quaestionesdisputatae, thatis,con-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troversy.ThisiswhyThomasdividestheAristoteliantextin lectiones, andthen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reservestheproblemsforthe quaestiones, aboveallforthe quaestionesdisputatae. In</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everything,moreover,hepaidattentiontothecontext(circumstantialitterae), and</w:t>
      </w:r>
    </w:p>
    <w:p w:rsidR="00F84A76" w:rsidRPr="005249AC" w:rsidRDefault="00F84A76" w:rsidP="00F84A76">
      <w:pPr>
        <w:pStyle w:val="aa"/>
        <w:rPr>
          <w:rFonts w:ascii="Times New Roman" w:hAnsi="Times New Roman"/>
          <w:color w:val="000000"/>
          <w:sz w:val="20"/>
          <w:szCs w:val="20"/>
        </w:rPr>
      </w:pPr>
      <w:r w:rsidRPr="005249AC">
        <w:rPr>
          <w:rFonts w:ascii="Times New Roman" w:hAnsi="Times New Roman"/>
          <w:color w:val="000000"/>
          <w:sz w:val="20"/>
          <w:szCs w:val="20"/>
        </w:rPr>
        <w:t>frequentlymadeuseofdistinction(distinctio) inordertoclarifythemeaningoftexts.</w:t>
      </w:r>
    </w:p>
    <w:p w:rsidR="00F84A76" w:rsidRPr="005249AC" w:rsidRDefault="00F84A76" w:rsidP="00F84A76">
      <w:pPr>
        <w:pStyle w:val="aa"/>
        <w:numPr>
          <w:ilvl w:val="0"/>
          <w:numId w:val="1"/>
        </w:numPr>
        <w:rPr>
          <w:rFonts w:ascii="Times New Roman" w:hAnsi="Times New Roman"/>
          <w:noProof/>
          <w:sz w:val="20"/>
          <w:szCs w:val="20"/>
        </w:rPr>
      </w:pPr>
      <w:r w:rsidRPr="005249AC">
        <w:rPr>
          <w:rFonts w:ascii="Times New Roman" w:hAnsi="Times New Roman"/>
          <w:noProof/>
          <w:sz w:val="20"/>
          <w:szCs w:val="20"/>
        </w:rPr>
        <w:t xml:space="preserve">was a strong advocate of the literal approach: </w:t>
      </w:r>
    </w:p>
    <w:p w:rsidR="00F84A76" w:rsidRDefault="00F84A76" w:rsidP="00F84A76">
      <w:pPr>
        <w:pStyle w:val="aa"/>
        <w:rPr>
          <w:rFonts w:ascii="Times New Roman" w:hAnsi="Times New Roman"/>
          <w:noProof/>
          <w:sz w:val="20"/>
          <w:szCs w:val="20"/>
        </w:rPr>
      </w:pPr>
      <w:r w:rsidRPr="005249AC">
        <w:rPr>
          <w:rFonts w:ascii="Times New Roman" w:hAnsi="Times New Roman"/>
          <w:noProof/>
          <w:sz w:val="20"/>
          <w:szCs w:val="20"/>
        </w:rPr>
        <w:tab/>
        <w:t xml:space="preserve">    “Nothing necessary for faith is contained under the spiritual sense which is not elsewhere put forward clearly by the Scripture in its </w:t>
      </w:r>
      <w:r w:rsidRPr="00510389">
        <w:rPr>
          <w:rFonts w:ascii="Times New Roman" w:hAnsi="Times New Roman"/>
          <w:noProof/>
          <w:color w:val="C00000"/>
          <w:sz w:val="20"/>
          <w:szCs w:val="20"/>
        </w:rPr>
        <w:t>literal sense</w:t>
      </w:r>
      <w:r w:rsidRPr="005249AC">
        <w:rPr>
          <w:rFonts w:ascii="Times New Roman" w:hAnsi="Times New Roman"/>
          <w:noProof/>
          <w:sz w:val="20"/>
          <w:szCs w:val="20"/>
        </w:rPr>
        <w:t>” (</w:t>
      </w:r>
      <w:r w:rsidRPr="005249AC">
        <w:rPr>
          <w:rFonts w:ascii="Times New Roman" w:hAnsi="Times New Roman"/>
          <w:i/>
          <w:iCs/>
          <w:noProof/>
          <w:sz w:val="20"/>
          <w:szCs w:val="20"/>
        </w:rPr>
        <w:t>Summa Theologiae</w:t>
      </w:r>
      <w:r w:rsidRPr="005249AC">
        <w:rPr>
          <w:rFonts w:ascii="Times New Roman" w:hAnsi="Times New Roman"/>
          <w:noProof/>
          <w:sz w:val="20"/>
          <w:szCs w:val="20"/>
        </w:rPr>
        <w:t xml:space="preserve"> 1a. 1, 10).</w:t>
      </w:r>
      <w:r w:rsidR="00517D4F">
        <w:rPr>
          <w:rFonts w:ascii="Times New Roman" w:hAnsi="Times New Roman" w:hint="eastAsia"/>
          <w:noProof/>
          <w:sz w:val="20"/>
          <w:szCs w:val="20"/>
        </w:rPr>
        <w:t xml:space="preserve">      </w:t>
      </w:r>
    </w:p>
    <w:p w:rsidR="00517D4F" w:rsidRDefault="00517D4F" w:rsidP="00F84A76">
      <w:pPr>
        <w:pStyle w:val="aa"/>
        <w:rPr>
          <w:rFonts w:ascii="Times New Roman" w:hAnsi="Times New Roman"/>
          <w:noProof/>
          <w:sz w:val="20"/>
          <w:szCs w:val="20"/>
        </w:rPr>
      </w:pPr>
    </w:p>
    <w:p w:rsidR="00517D4F" w:rsidRDefault="00517D4F" w:rsidP="00F84A76">
      <w:pPr>
        <w:pStyle w:val="aa"/>
        <w:rPr>
          <w:rFonts w:ascii="Times New Roman" w:hAnsi="Times New Roman"/>
          <w:noProof/>
          <w:sz w:val="20"/>
          <w:szCs w:val="20"/>
        </w:rPr>
      </w:pPr>
    </w:p>
    <w:p w:rsidR="00517D4F" w:rsidRDefault="00517D4F" w:rsidP="00F84A76">
      <w:pPr>
        <w:pStyle w:val="aa"/>
        <w:rPr>
          <w:rFonts w:ascii="Times New Roman" w:hAnsi="Times New Roman"/>
          <w:noProof/>
          <w:sz w:val="20"/>
          <w:szCs w:val="20"/>
        </w:rPr>
      </w:pPr>
    </w:p>
    <w:p w:rsidR="00517D4F" w:rsidRDefault="00517D4F" w:rsidP="00517D4F">
      <w:pPr>
        <w:pStyle w:val="1"/>
        <w:pBdr>
          <w:bottom w:val="single" w:sz="4" w:space="0" w:color="AAAAAA"/>
        </w:pBdr>
        <w:spacing w:before="0" w:beforeAutospacing="0" w:after="60" w:afterAutospacing="0"/>
        <w:rPr>
          <w:rFonts w:ascii="Georgia" w:hAnsi="Georgia"/>
          <w:b w:val="0"/>
          <w:bCs w:val="0"/>
          <w:color w:val="000000"/>
          <w:sz w:val="43"/>
          <w:szCs w:val="43"/>
        </w:rPr>
      </w:pPr>
      <w:r>
        <w:rPr>
          <w:rFonts w:ascii="Georgia" w:hAnsi="Georgia"/>
          <w:b w:val="0"/>
          <w:bCs w:val="0"/>
          <w:color w:val="000000"/>
          <w:sz w:val="43"/>
          <w:szCs w:val="43"/>
        </w:rPr>
        <w:t>Nicholas of Lyra</w:t>
      </w:r>
    </w:p>
    <w:p w:rsidR="00517D4F" w:rsidRDefault="00517D4F" w:rsidP="00517D4F">
      <w:pPr>
        <w:rPr>
          <w:rFonts w:ascii="Arial" w:hAnsi="Arial" w:cs="Arial"/>
          <w:color w:val="252525"/>
          <w:sz w:val="13"/>
          <w:szCs w:val="13"/>
        </w:rPr>
      </w:pPr>
      <w:r>
        <w:rPr>
          <w:rFonts w:ascii="Arial" w:hAnsi="Arial" w:cs="Arial"/>
          <w:color w:val="252525"/>
          <w:sz w:val="13"/>
          <w:szCs w:val="13"/>
        </w:rPr>
        <w:t>From Wikipedia, the free encyclopedia</w:t>
      </w:r>
    </w:p>
    <w:p w:rsidR="00517D4F" w:rsidRDefault="00517D4F" w:rsidP="00517D4F">
      <w:pPr>
        <w:shd w:val="clear" w:color="auto" w:fill="F9F9F9"/>
        <w:jc w:val="center"/>
        <w:rPr>
          <w:rFonts w:ascii="Arial" w:hAnsi="Arial" w:cs="Arial"/>
          <w:color w:val="252525"/>
          <w:sz w:val="13"/>
          <w:szCs w:val="13"/>
        </w:rPr>
      </w:pPr>
    </w:p>
    <w:p w:rsidR="00517D4F" w:rsidRDefault="00256EC7" w:rsidP="00517D4F">
      <w:pPr>
        <w:shd w:val="clear" w:color="auto" w:fill="F9F9F9"/>
        <w:jc w:val="center"/>
        <w:rPr>
          <w:rFonts w:ascii="Arial" w:hAnsi="Arial" w:cs="Arial"/>
          <w:color w:val="252525"/>
          <w:sz w:val="13"/>
          <w:szCs w:val="13"/>
        </w:rPr>
      </w:pPr>
      <w:hyperlink r:id="rId163" w:history="1">
        <w:r w:rsidR="00517D4F" w:rsidRPr="00C71396">
          <w:rPr>
            <w:rStyle w:val="a6"/>
            <w:rFonts w:ascii="Arial" w:hAnsi="Arial" w:cs="Arial"/>
            <w:sz w:val="13"/>
            <w:szCs w:val="13"/>
          </w:rPr>
          <w:t>https://en.wikipedia.org/wiki/Nicholas_of_Lyra</w:t>
        </w:r>
      </w:hyperlink>
    </w:p>
    <w:p w:rsidR="00517D4F" w:rsidRDefault="00517D4F" w:rsidP="00517D4F">
      <w:pPr>
        <w:shd w:val="clear" w:color="auto" w:fill="F9F9F9"/>
        <w:jc w:val="center"/>
        <w:rPr>
          <w:rFonts w:ascii="Arial" w:hAnsi="Arial" w:cs="Arial"/>
          <w:color w:val="252525"/>
          <w:sz w:val="13"/>
          <w:szCs w:val="13"/>
        </w:rPr>
      </w:pPr>
    </w:p>
    <w:p w:rsidR="00517D4F" w:rsidRDefault="00517D4F" w:rsidP="00517D4F">
      <w:pPr>
        <w:pStyle w:val="a7"/>
        <w:spacing w:before="120" w:beforeAutospacing="0" w:after="120" w:afterAutospacing="0"/>
        <w:rPr>
          <w:rFonts w:ascii="Arial" w:hAnsi="Arial" w:cs="Arial"/>
          <w:color w:val="252525"/>
          <w:sz w:val="21"/>
          <w:szCs w:val="21"/>
        </w:rPr>
      </w:pPr>
      <w:r>
        <w:rPr>
          <w:rFonts w:ascii="Arial" w:hAnsi="Arial" w:cs="Arial"/>
          <w:b/>
          <w:bCs/>
          <w:color w:val="252525"/>
          <w:sz w:val="21"/>
          <w:szCs w:val="21"/>
        </w:rPr>
        <w:t>Nicholas of Lyra</w:t>
      </w:r>
      <w:r>
        <w:rPr>
          <w:rStyle w:val="apple-converted-space"/>
          <w:rFonts w:ascii="Arial" w:hAnsi="Arial" w:cs="Arial"/>
          <w:color w:val="252525"/>
          <w:sz w:val="21"/>
          <w:szCs w:val="21"/>
        </w:rPr>
        <w:t> </w:t>
      </w:r>
      <w:r>
        <w:rPr>
          <w:rFonts w:ascii="Arial" w:hAnsi="Arial" w:cs="Arial"/>
          <w:color w:val="252525"/>
          <w:sz w:val="21"/>
          <w:szCs w:val="21"/>
        </w:rPr>
        <w:t>(</w:t>
      </w:r>
      <w:hyperlink r:id="rId164" w:tooltip="French language" w:history="1">
        <w:r>
          <w:rPr>
            <w:rStyle w:val="a6"/>
            <w:rFonts w:ascii="Arial" w:hAnsi="Arial" w:cs="Arial"/>
            <w:color w:val="0B0080"/>
            <w:sz w:val="21"/>
            <w:szCs w:val="21"/>
          </w:rPr>
          <w:t>French</w:t>
        </w:r>
      </w:hyperlink>
      <w:r>
        <w:rPr>
          <w:rFonts w:ascii="Arial" w:hAnsi="Arial" w:cs="Arial"/>
          <w:color w:val="252525"/>
          <w:sz w:val="21"/>
          <w:szCs w:val="21"/>
        </w:rPr>
        <w:t>:</w:t>
      </w:r>
      <w:r>
        <w:rPr>
          <w:rStyle w:val="apple-converted-space"/>
          <w:rFonts w:ascii="Arial" w:hAnsi="Arial" w:cs="Arial"/>
          <w:color w:val="252525"/>
          <w:sz w:val="21"/>
          <w:szCs w:val="21"/>
        </w:rPr>
        <w:t> </w:t>
      </w:r>
      <w:r>
        <w:rPr>
          <w:rFonts w:ascii="Arial" w:hAnsi="Arial" w:cs="Arial"/>
          <w:i/>
          <w:iCs/>
          <w:color w:val="252525"/>
          <w:sz w:val="21"/>
          <w:szCs w:val="21"/>
          <w:lang w:val="fr-FR"/>
        </w:rPr>
        <w:t>Nicolas de Lyre</w:t>
      </w:r>
      <w:r>
        <w:rPr>
          <w:rFonts w:ascii="Arial" w:hAnsi="Arial" w:cs="Arial"/>
          <w:color w:val="252525"/>
          <w:sz w:val="21"/>
          <w:szCs w:val="21"/>
        </w:rPr>
        <w:t>; c. 1270 – October 1349), or</w:t>
      </w:r>
      <w:r>
        <w:rPr>
          <w:rStyle w:val="apple-converted-space"/>
          <w:rFonts w:ascii="Arial" w:hAnsi="Arial" w:cs="Arial"/>
          <w:color w:val="252525"/>
          <w:sz w:val="21"/>
          <w:szCs w:val="21"/>
        </w:rPr>
        <w:t> </w:t>
      </w:r>
      <w:r>
        <w:rPr>
          <w:rFonts w:ascii="Arial" w:hAnsi="Arial" w:cs="Arial"/>
          <w:b/>
          <w:bCs/>
          <w:color w:val="252525"/>
          <w:sz w:val="21"/>
          <w:szCs w:val="21"/>
        </w:rPr>
        <w:t>Nicolaus Lyranus</w:t>
      </w:r>
      <w:r>
        <w:rPr>
          <w:rFonts w:ascii="Arial" w:hAnsi="Arial" w:cs="Arial"/>
          <w:color w:val="252525"/>
          <w:sz w:val="21"/>
          <w:szCs w:val="21"/>
        </w:rPr>
        <w:t>, a</w:t>
      </w:r>
      <w:r>
        <w:rPr>
          <w:rStyle w:val="apple-converted-space"/>
          <w:rFonts w:ascii="Arial" w:hAnsi="Arial" w:cs="Arial"/>
          <w:color w:val="252525"/>
          <w:sz w:val="21"/>
          <w:szCs w:val="21"/>
        </w:rPr>
        <w:t> </w:t>
      </w:r>
      <w:hyperlink r:id="rId165" w:tooltip="Franciscan" w:history="1">
        <w:r>
          <w:rPr>
            <w:rStyle w:val="a6"/>
            <w:rFonts w:ascii="Arial" w:hAnsi="Arial" w:cs="Arial"/>
            <w:color w:val="0B0080"/>
            <w:sz w:val="21"/>
            <w:szCs w:val="21"/>
          </w:rPr>
          <w:t>Franciscan</w:t>
        </w:r>
      </w:hyperlink>
      <w:r>
        <w:rPr>
          <w:rStyle w:val="apple-converted-space"/>
          <w:rFonts w:ascii="Arial" w:hAnsi="Arial" w:cs="Arial"/>
          <w:color w:val="252525"/>
          <w:sz w:val="21"/>
          <w:szCs w:val="21"/>
        </w:rPr>
        <w:t> </w:t>
      </w:r>
      <w:r>
        <w:rPr>
          <w:rFonts w:ascii="Arial" w:hAnsi="Arial" w:cs="Arial"/>
          <w:color w:val="252525"/>
          <w:sz w:val="21"/>
          <w:szCs w:val="21"/>
        </w:rPr>
        <w:t>teacher, was among the most influential practitioners of</w:t>
      </w:r>
      <w:r>
        <w:rPr>
          <w:rStyle w:val="apple-converted-space"/>
          <w:rFonts w:ascii="Arial" w:hAnsi="Arial" w:cs="Arial"/>
          <w:color w:val="252525"/>
          <w:sz w:val="21"/>
          <w:szCs w:val="21"/>
        </w:rPr>
        <w:t> </w:t>
      </w:r>
      <w:hyperlink r:id="rId166" w:tooltip="Bible" w:history="1">
        <w:r>
          <w:rPr>
            <w:rStyle w:val="a6"/>
            <w:rFonts w:ascii="Arial" w:hAnsi="Arial" w:cs="Arial"/>
            <w:color w:val="0B0080"/>
            <w:sz w:val="21"/>
            <w:szCs w:val="21"/>
          </w:rPr>
          <w:t>Biblical</w:t>
        </w:r>
      </w:hyperlink>
      <w:r>
        <w:rPr>
          <w:rStyle w:val="apple-converted-space"/>
          <w:rFonts w:ascii="Arial" w:hAnsi="Arial" w:cs="Arial"/>
          <w:color w:val="252525"/>
          <w:sz w:val="21"/>
          <w:szCs w:val="21"/>
        </w:rPr>
        <w:t> </w:t>
      </w:r>
      <w:hyperlink r:id="rId167" w:tooltip="Exegesis" w:history="1">
        <w:r>
          <w:rPr>
            <w:rStyle w:val="a6"/>
            <w:rFonts w:ascii="Arial" w:hAnsi="Arial" w:cs="Arial"/>
            <w:color w:val="0B0080"/>
            <w:sz w:val="21"/>
            <w:szCs w:val="21"/>
          </w:rPr>
          <w:t>exegesis</w:t>
        </w:r>
      </w:hyperlink>
      <w:r>
        <w:rPr>
          <w:rStyle w:val="apple-converted-space"/>
          <w:rFonts w:ascii="Arial" w:hAnsi="Arial" w:cs="Arial"/>
          <w:color w:val="252525"/>
          <w:sz w:val="21"/>
          <w:szCs w:val="21"/>
        </w:rPr>
        <w:t> </w:t>
      </w:r>
      <w:r>
        <w:rPr>
          <w:rFonts w:ascii="Arial" w:hAnsi="Arial" w:cs="Arial"/>
          <w:color w:val="252525"/>
          <w:sz w:val="21"/>
          <w:szCs w:val="21"/>
        </w:rPr>
        <w:t>in the</w:t>
      </w:r>
      <w:hyperlink r:id="rId168" w:tooltip="Middle Ages" w:history="1">
        <w:r>
          <w:rPr>
            <w:rStyle w:val="a6"/>
            <w:rFonts w:ascii="Arial" w:hAnsi="Arial" w:cs="Arial"/>
            <w:color w:val="0B0080"/>
            <w:sz w:val="21"/>
            <w:szCs w:val="21"/>
          </w:rPr>
          <w:t>Middle Ages</w:t>
        </w:r>
      </w:hyperlink>
      <w:r>
        <w:rPr>
          <w:rFonts w:ascii="Arial" w:hAnsi="Arial" w:cs="Arial"/>
          <w:color w:val="252525"/>
          <w:sz w:val="21"/>
          <w:szCs w:val="21"/>
        </w:rPr>
        <w:t>. Little is known about his youth, aside from the fact of his birth, around 1270, in Lyre, Normandy. Rumors from the fifteenth century that Nicholas was born into a Jewish family have been dismissed by modern scholars.</w:t>
      </w:r>
      <w:r>
        <w:rPr>
          <w:rStyle w:val="apple-converted-space"/>
          <w:rFonts w:ascii="Arial" w:hAnsi="Arial" w:cs="Arial"/>
          <w:color w:val="252525"/>
          <w:sz w:val="21"/>
          <w:szCs w:val="21"/>
        </w:rPr>
        <w:t> </w:t>
      </w:r>
      <w:hyperlink r:id="rId169" w:anchor="cite_note-1" w:history="1">
        <w:r>
          <w:rPr>
            <w:rStyle w:val="a6"/>
            <w:rFonts w:ascii="Arial" w:hAnsi="Arial" w:cs="Arial"/>
            <w:color w:val="0B0080"/>
            <w:sz w:val="11"/>
            <w:szCs w:val="11"/>
            <w:vertAlign w:val="superscript"/>
          </w:rPr>
          <w:t>[1]</w:t>
        </w:r>
      </w:hyperlink>
      <w:r>
        <w:rPr>
          <w:rStyle w:val="apple-converted-space"/>
          <w:rFonts w:ascii="Arial" w:hAnsi="Arial" w:cs="Arial"/>
          <w:color w:val="252525"/>
          <w:sz w:val="21"/>
          <w:szCs w:val="21"/>
        </w:rPr>
        <w:t> </w:t>
      </w:r>
      <w:r>
        <w:rPr>
          <w:rFonts w:ascii="Arial" w:hAnsi="Arial" w:cs="Arial"/>
          <w:color w:val="252525"/>
          <w:sz w:val="21"/>
          <w:szCs w:val="21"/>
        </w:rPr>
        <w:t>In 1291 he entered the Franciscan order, in the convent of Verneuil-sur-Avre . He was a doctor at the</w:t>
      </w:r>
      <w:r>
        <w:rPr>
          <w:rStyle w:val="apple-converted-space"/>
          <w:rFonts w:ascii="Arial" w:hAnsi="Arial" w:cs="Arial"/>
          <w:color w:val="252525"/>
          <w:sz w:val="21"/>
          <w:szCs w:val="21"/>
        </w:rPr>
        <w:t> </w:t>
      </w:r>
      <w:hyperlink r:id="rId170" w:tooltip="Collège de Sorbonne" w:history="1">
        <w:r>
          <w:rPr>
            <w:rStyle w:val="a6"/>
            <w:rFonts w:ascii="Arial" w:hAnsi="Arial" w:cs="Arial"/>
            <w:color w:val="0B0080"/>
            <w:sz w:val="21"/>
            <w:szCs w:val="21"/>
          </w:rPr>
          <w:t>Sorbonne</w:t>
        </w:r>
      </w:hyperlink>
      <w:r>
        <w:rPr>
          <w:rStyle w:val="apple-converted-space"/>
          <w:rFonts w:ascii="Arial" w:hAnsi="Arial" w:cs="Arial"/>
          <w:color w:val="252525"/>
          <w:sz w:val="21"/>
          <w:szCs w:val="21"/>
        </w:rPr>
        <w:t> </w:t>
      </w:r>
      <w:r>
        <w:rPr>
          <w:rFonts w:ascii="Arial" w:hAnsi="Arial" w:cs="Arial"/>
          <w:color w:val="252525"/>
          <w:sz w:val="21"/>
          <w:szCs w:val="21"/>
        </w:rPr>
        <w:t>by 1309 and ten years later was appointed the head of all Franciscans in</w:t>
      </w:r>
      <w:r>
        <w:rPr>
          <w:rStyle w:val="apple-converted-space"/>
          <w:rFonts w:ascii="Arial" w:hAnsi="Arial" w:cs="Arial"/>
          <w:color w:val="252525"/>
          <w:sz w:val="21"/>
          <w:szCs w:val="21"/>
        </w:rPr>
        <w:t> </w:t>
      </w:r>
      <w:hyperlink r:id="rId171" w:tooltip="France" w:history="1">
        <w:r>
          <w:rPr>
            <w:rStyle w:val="a6"/>
            <w:rFonts w:ascii="Arial" w:hAnsi="Arial" w:cs="Arial"/>
            <w:color w:val="0B0080"/>
            <w:sz w:val="21"/>
            <w:szCs w:val="21"/>
          </w:rPr>
          <w:t>France</w:t>
        </w:r>
      </w:hyperlink>
      <w:r>
        <w:rPr>
          <w:rFonts w:ascii="Arial" w:hAnsi="Arial" w:cs="Arial"/>
          <w:color w:val="252525"/>
          <w:sz w:val="21"/>
          <w:szCs w:val="21"/>
        </w:rPr>
        <w:t>. His major work,</w:t>
      </w:r>
      <w:r>
        <w:rPr>
          <w:rStyle w:val="apple-converted-space"/>
          <w:rFonts w:ascii="Arial" w:hAnsi="Arial" w:cs="Arial"/>
          <w:color w:val="252525"/>
          <w:sz w:val="21"/>
          <w:szCs w:val="21"/>
        </w:rPr>
        <w:t> </w:t>
      </w:r>
      <w:r>
        <w:rPr>
          <w:rFonts w:ascii="Arial" w:hAnsi="Arial" w:cs="Arial"/>
          <w:i/>
          <w:iCs/>
          <w:color w:val="252525"/>
          <w:sz w:val="21"/>
          <w:szCs w:val="21"/>
        </w:rPr>
        <w:t>Postillae perpetuae in universam S. Scripturam,</w:t>
      </w:r>
      <w:r>
        <w:rPr>
          <w:rFonts w:ascii="Arial" w:hAnsi="Arial" w:cs="Arial"/>
          <w:color w:val="252525"/>
          <w:sz w:val="21"/>
          <w:szCs w:val="21"/>
        </w:rPr>
        <w:t>was the first printed commentary on the Bible. Printed in</w:t>
      </w:r>
      <w:hyperlink r:id="rId172" w:tooltip="Rome" w:history="1">
        <w:r>
          <w:rPr>
            <w:rStyle w:val="a6"/>
            <w:rFonts w:ascii="Arial" w:hAnsi="Arial" w:cs="Arial"/>
            <w:color w:val="0B0080"/>
            <w:sz w:val="21"/>
            <w:szCs w:val="21"/>
          </w:rPr>
          <w:t>Rome</w:t>
        </w:r>
      </w:hyperlink>
      <w:r>
        <w:rPr>
          <w:rStyle w:val="apple-converted-space"/>
          <w:rFonts w:ascii="Arial" w:hAnsi="Arial" w:cs="Arial"/>
          <w:color w:val="252525"/>
          <w:sz w:val="21"/>
          <w:szCs w:val="21"/>
        </w:rPr>
        <w:t> </w:t>
      </w:r>
      <w:r>
        <w:rPr>
          <w:rFonts w:ascii="Arial" w:hAnsi="Arial" w:cs="Arial"/>
          <w:color w:val="252525"/>
          <w:sz w:val="21"/>
          <w:szCs w:val="21"/>
        </w:rPr>
        <w:t>in 1471, it was later available in</w:t>
      </w:r>
      <w:r>
        <w:rPr>
          <w:rStyle w:val="apple-converted-space"/>
          <w:rFonts w:ascii="Arial" w:hAnsi="Arial" w:cs="Arial"/>
          <w:color w:val="252525"/>
          <w:sz w:val="21"/>
          <w:szCs w:val="21"/>
        </w:rPr>
        <w:t> </w:t>
      </w:r>
      <w:hyperlink r:id="rId173" w:tooltip="Venice" w:history="1">
        <w:r>
          <w:rPr>
            <w:rStyle w:val="a6"/>
            <w:rFonts w:ascii="Arial" w:hAnsi="Arial" w:cs="Arial"/>
            <w:color w:val="0B0080"/>
            <w:sz w:val="21"/>
            <w:szCs w:val="21"/>
          </w:rPr>
          <w:t>Venice</w:t>
        </w:r>
      </w:hyperlink>
      <w:r>
        <w:rPr>
          <w:rFonts w:ascii="Arial" w:hAnsi="Arial" w:cs="Arial"/>
          <w:color w:val="252525"/>
          <w:sz w:val="21"/>
          <w:szCs w:val="21"/>
        </w:rPr>
        <w:t>,</w:t>
      </w:r>
      <w:r>
        <w:rPr>
          <w:rStyle w:val="apple-converted-space"/>
          <w:rFonts w:ascii="Arial" w:hAnsi="Arial" w:cs="Arial"/>
          <w:color w:val="252525"/>
          <w:sz w:val="21"/>
          <w:szCs w:val="21"/>
        </w:rPr>
        <w:t> </w:t>
      </w:r>
      <w:hyperlink r:id="rId174" w:tooltip="Basel" w:history="1">
        <w:r>
          <w:rPr>
            <w:rStyle w:val="a6"/>
            <w:rFonts w:ascii="Arial" w:hAnsi="Arial" w:cs="Arial"/>
            <w:color w:val="0B0080"/>
            <w:sz w:val="21"/>
            <w:szCs w:val="21"/>
          </w:rPr>
          <w:t>Basel</w:t>
        </w:r>
      </w:hyperlink>
      <w:r>
        <w:rPr>
          <w:rFonts w:ascii="Arial" w:hAnsi="Arial" w:cs="Arial"/>
          <w:color w:val="252525"/>
          <w:sz w:val="21"/>
          <w:szCs w:val="21"/>
        </w:rPr>
        <w:t>, and elsewhere. In it, each page of Biblical text was printed in the upper center of the page and embedded in a surrounding commentary (</w:t>
      </w:r>
      <w:r>
        <w:rPr>
          <w:rFonts w:ascii="Arial" w:hAnsi="Arial" w:cs="Arial"/>
          <w:i/>
          <w:iCs/>
          <w:color w:val="252525"/>
          <w:sz w:val="21"/>
          <w:szCs w:val="21"/>
        </w:rPr>
        <w:t>illustration, right</w:t>
      </w:r>
      <w:r>
        <w:rPr>
          <w:rFonts w:ascii="Arial" w:hAnsi="Arial" w:cs="Arial"/>
          <w:color w:val="252525"/>
          <w:sz w:val="21"/>
          <w:szCs w:val="21"/>
        </w:rPr>
        <w:t>).</w:t>
      </w:r>
    </w:p>
    <w:p w:rsidR="00517D4F" w:rsidRDefault="00517D4F" w:rsidP="00517D4F">
      <w:pPr>
        <w:pStyle w:val="a7"/>
        <w:spacing w:before="120" w:beforeAutospacing="0" w:after="120" w:afterAutospacing="0"/>
        <w:rPr>
          <w:rFonts w:ascii="Arial" w:hAnsi="Arial" w:cs="Arial"/>
          <w:color w:val="252525"/>
          <w:sz w:val="21"/>
          <w:szCs w:val="21"/>
        </w:rPr>
      </w:pPr>
      <w:r>
        <w:rPr>
          <w:rFonts w:ascii="Arial" w:hAnsi="Arial" w:cs="Arial"/>
          <w:color w:val="252525"/>
          <w:sz w:val="21"/>
          <w:szCs w:val="21"/>
        </w:rPr>
        <w:t xml:space="preserve">Nicolas of Lyra's approach to explicating Scripture was firmly based on the </w:t>
      </w:r>
      <w:r w:rsidRPr="00517D4F">
        <w:rPr>
          <w:rFonts w:ascii="Arial" w:hAnsi="Arial" w:cs="Arial"/>
          <w:color w:val="C00000"/>
          <w:sz w:val="21"/>
          <w:szCs w:val="21"/>
        </w:rPr>
        <w:t>literal sense</w:t>
      </w:r>
      <w:r>
        <w:rPr>
          <w:rFonts w:ascii="Arial" w:hAnsi="Arial" w:cs="Arial"/>
          <w:color w:val="252525"/>
          <w:sz w:val="21"/>
          <w:szCs w:val="21"/>
        </w:rPr>
        <w:t xml:space="preserve">, which for him is </w:t>
      </w:r>
      <w:r w:rsidRPr="00007BB1">
        <w:rPr>
          <w:rFonts w:ascii="Arial" w:hAnsi="Arial" w:cs="Arial"/>
          <w:color w:val="252525"/>
          <w:sz w:val="21"/>
          <w:szCs w:val="21"/>
          <w:highlight w:val="red"/>
        </w:rPr>
        <w:t>the foundation</w:t>
      </w:r>
      <w:r>
        <w:rPr>
          <w:rFonts w:ascii="Arial" w:hAnsi="Arial" w:cs="Arial"/>
          <w:color w:val="252525"/>
          <w:sz w:val="21"/>
          <w:szCs w:val="21"/>
        </w:rPr>
        <w:t xml:space="preserve"> of all mystical or allegorical or anagogical expositions. He deplored</w:t>
      </w:r>
      <w:r>
        <w:rPr>
          <w:rFonts w:ascii="Arial" w:hAnsi="Arial" w:cs="Arial" w:hint="eastAsia"/>
          <w:color w:val="252525"/>
          <w:sz w:val="21"/>
          <w:szCs w:val="21"/>
        </w:rPr>
        <w:t>(</w:t>
      </w:r>
      <w:r>
        <w:rPr>
          <w:rStyle w:val="oneclick-link"/>
          <w:rFonts w:ascii="Verdana" w:hAnsi="Verdana"/>
          <w:color w:val="3D7BBF"/>
          <w:sz w:val="15"/>
          <w:szCs w:val="15"/>
          <w:shd w:val="clear" w:color="auto" w:fill="FFFFFF"/>
        </w:rPr>
        <w:t>regret</w:t>
      </w:r>
      <w:r>
        <w:rPr>
          <w:rStyle w:val="apple-converted-space"/>
          <w:rFonts w:ascii="Verdana" w:hAnsi="Verdana"/>
          <w:color w:val="666666"/>
          <w:sz w:val="15"/>
          <w:szCs w:val="15"/>
          <w:shd w:val="clear" w:color="auto" w:fill="FFFFFF"/>
        </w:rPr>
        <w:t> </w:t>
      </w:r>
      <w:r>
        <w:rPr>
          <w:rStyle w:val="oneclick-link"/>
          <w:rFonts w:ascii="Verdana" w:hAnsi="Verdana"/>
          <w:color w:val="666666"/>
          <w:sz w:val="15"/>
          <w:szCs w:val="15"/>
          <w:shd w:val="clear" w:color="auto" w:fill="FFFFFF"/>
        </w:rPr>
        <w:t>deeply</w:t>
      </w:r>
      <w:r>
        <w:rPr>
          <w:rStyle w:val="apple-converted-space"/>
          <w:rFonts w:ascii="Verdana" w:hAnsi="Verdana"/>
          <w:color w:val="666666"/>
          <w:sz w:val="15"/>
          <w:szCs w:val="15"/>
          <w:shd w:val="clear" w:color="auto" w:fill="FFFFFF"/>
        </w:rPr>
        <w:t> </w:t>
      </w:r>
      <w:r>
        <w:rPr>
          <w:rStyle w:val="apple-converted-space"/>
          <w:rFonts w:ascii="Verdana" w:hAnsi="Verdana" w:hint="eastAsia"/>
          <w:color w:val="666666"/>
          <w:sz w:val="15"/>
          <w:szCs w:val="15"/>
          <w:shd w:val="clear" w:color="auto" w:fill="FFFFFF"/>
        </w:rPr>
        <w:t>)</w:t>
      </w:r>
      <w:r>
        <w:rPr>
          <w:rFonts w:ascii="Arial" w:hAnsi="Arial" w:cs="Arial"/>
          <w:color w:val="252525"/>
          <w:sz w:val="21"/>
          <w:szCs w:val="21"/>
        </w:rPr>
        <w:t xml:space="preserve"> the tortured and elaborated readings being given to Scripture in his time. The textual basis was so important that he urged that errors be corrected with reference to Hebrew texts, an early glimmer of techniques of</w:t>
      </w:r>
      <w:r>
        <w:rPr>
          <w:rStyle w:val="apple-converted-space"/>
          <w:rFonts w:ascii="Arial" w:hAnsi="Arial" w:cs="Arial"/>
          <w:color w:val="252525"/>
          <w:sz w:val="21"/>
          <w:szCs w:val="21"/>
        </w:rPr>
        <w:t> </w:t>
      </w:r>
      <w:hyperlink r:id="rId175" w:tooltip="Textual criticism" w:history="1">
        <w:r>
          <w:rPr>
            <w:rStyle w:val="a6"/>
            <w:rFonts w:ascii="Arial" w:hAnsi="Arial" w:cs="Arial"/>
            <w:color w:val="0B0080"/>
            <w:sz w:val="21"/>
            <w:szCs w:val="21"/>
          </w:rPr>
          <w:t>textual criticism</w:t>
        </w:r>
      </w:hyperlink>
      <w:r>
        <w:rPr>
          <w:rFonts w:ascii="Arial" w:hAnsi="Arial" w:cs="Arial"/>
          <w:color w:val="252525"/>
          <w:sz w:val="21"/>
          <w:szCs w:val="21"/>
        </w:rPr>
        <w:t>, though Nicholas recognized the authoritative value of the Church's Tradition:</w:t>
      </w:r>
    </w:p>
    <w:p w:rsidR="00517D4F" w:rsidRDefault="00517D4F" w:rsidP="00517D4F">
      <w:pPr>
        <w:spacing w:after="24"/>
        <w:ind w:left="720"/>
        <w:rPr>
          <w:rFonts w:ascii="Arial" w:hAnsi="Arial" w:cs="Arial"/>
          <w:color w:val="252525"/>
          <w:sz w:val="21"/>
          <w:szCs w:val="21"/>
        </w:rPr>
      </w:pPr>
      <w:r>
        <w:rPr>
          <w:rFonts w:ascii="Arial" w:hAnsi="Arial" w:cs="Arial"/>
          <w:color w:val="252525"/>
          <w:sz w:val="21"/>
          <w:szCs w:val="21"/>
        </w:rPr>
        <w:t xml:space="preserve">"I protest that I do not intend to assert or determine anything that has not been manifestly determined </w:t>
      </w:r>
      <w:r w:rsidRPr="00517D4F">
        <w:rPr>
          <w:rFonts w:ascii="Arial" w:hAnsi="Arial" w:cs="Arial"/>
          <w:color w:val="C00000"/>
          <w:sz w:val="21"/>
          <w:szCs w:val="21"/>
        </w:rPr>
        <w:t>by Sacred Scripture or by the authority of the Church</w:t>
      </w:r>
      <w:r>
        <w:rPr>
          <w:rFonts w:ascii="Arial" w:hAnsi="Arial" w:cs="Arial"/>
          <w:color w:val="252525"/>
          <w:sz w:val="21"/>
          <w:szCs w:val="21"/>
        </w:rPr>
        <w:t>... Wherefore I submit all I have said or shall say to the correction of Holy Mother Church and of all learned men..." (Second Prologue to</w:t>
      </w:r>
      <w:r>
        <w:rPr>
          <w:rStyle w:val="apple-converted-space"/>
          <w:rFonts w:ascii="Arial" w:hAnsi="Arial" w:cs="Arial"/>
          <w:color w:val="252525"/>
          <w:sz w:val="21"/>
          <w:szCs w:val="21"/>
        </w:rPr>
        <w:t> </w:t>
      </w:r>
      <w:r>
        <w:rPr>
          <w:rFonts w:ascii="Arial" w:hAnsi="Arial" w:cs="Arial"/>
          <w:i/>
          <w:iCs/>
          <w:color w:val="252525"/>
          <w:sz w:val="21"/>
          <w:szCs w:val="21"/>
        </w:rPr>
        <w:t>Postillae</w:t>
      </w:r>
      <w:r>
        <w:rPr>
          <w:rFonts w:ascii="Arial" w:hAnsi="Arial" w:cs="Arial"/>
          <w:color w:val="252525"/>
          <w:sz w:val="21"/>
          <w:szCs w:val="21"/>
        </w:rPr>
        <w:t>).</w:t>
      </w:r>
    </w:p>
    <w:p w:rsidR="00517D4F" w:rsidRDefault="00517D4F" w:rsidP="00517D4F">
      <w:pPr>
        <w:pStyle w:val="a7"/>
        <w:spacing w:before="120" w:beforeAutospacing="0" w:after="120" w:afterAutospacing="0"/>
        <w:ind w:left="384"/>
        <w:rPr>
          <w:rFonts w:ascii="Arial" w:hAnsi="Arial" w:cs="Arial"/>
          <w:color w:val="252525"/>
          <w:sz w:val="21"/>
          <w:szCs w:val="21"/>
        </w:rPr>
      </w:pPr>
      <w:r>
        <w:rPr>
          <w:rFonts w:ascii="Arial" w:hAnsi="Arial" w:cs="Arial"/>
          <w:color w:val="252525"/>
          <w:sz w:val="21"/>
          <w:szCs w:val="21"/>
        </w:rPr>
        <w:t>Nicholas utilized all sources available to him, fully mastered Hebrew and drew copiously from</w:t>
      </w:r>
      <w:r>
        <w:rPr>
          <w:rStyle w:val="apple-converted-space"/>
          <w:rFonts w:ascii="Arial" w:hAnsi="Arial" w:cs="Arial"/>
          <w:color w:val="252525"/>
          <w:sz w:val="21"/>
          <w:szCs w:val="21"/>
        </w:rPr>
        <w:t> </w:t>
      </w:r>
      <w:hyperlink r:id="rId176" w:tooltip="Rashi" w:history="1">
        <w:r>
          <w:rPr>
            <w:rStyle w:val="a6"/>
            <w:rFonts w:ascii="Arial" w:hAnsi="Arial" w:cs="Arial"/>
            <w:color w:val="0B0080"/>
            <w:sz w:val="21"/>
            <w:szCs w:val="21"/>
          </w:rPr>
          <w:t>Rashi</w:t>
        </w:r>
      </w:hyperlink>
      <w:r>
        <w:rPr>
          <w:rStyle w:val="apple-converted-space"/>
          <w:rFonts w:ascii="Arial" w:hAnsi="Arial" w:cs="Arial"/>
          <w:color w:val="252525"/>
          <w:sz w:val="21"/>
          <w:szCs w:val="21"/>
        </w:rPr>
        <w:t> </w:t>
      </w:r>
      <w:r w:rsidR="005E6C87">
        <w:rPr>
          <w:rStyle w:val="a3"/>
          <w:rFonts w:ascii="Arial" w:hAnsi="Arial" w:cs="Arial"/>
          <w:color w:val="252525"/>
          <w:sz w:val="21"/>
          <w:szCs w:val="21"/>
        </w:rPr>
        <w:footnoteReference w:id="99"/>
      </w:r>
      <w:r>
        <w:rPr>
          <w:rFonts w:ascii="Arial" w:hAnsi="Arial" w:cs="Arial"/>
          <w:color w:val="252525"/>
          <w:sz w:val="21"/>
          <w:szCs w:val="21"/>
        </w:rPr>
        <w:t>and other</w:t>
      </w:r>
      <w:r>
        <w:rPr>
          <w:rStyle w:val="apple-converted-space"/>
          <w:rFonts w:ascii="Arial" w:hAnsi="Arial" w:cs="Arial"/>
          <w:color w:val="252525"/>
          <w:sz w:val="21"/>
          <w:szCs w:val="21"/>
        </w:rPr>
        <w:t> </w:t>
      </w:r>
      <w:hyperlink r:id="rId177" w:anchor="Meforshim" w:tooltip="Rabbinic literature" w:history="1">
        <w:r>
          <w:rPr>
            <w:rStyle w:val="a6"/>
            <w:rFonts w:ascii="Arial" w:hAnsi="Arial" w:cs="Arial"/>
            <w:color w:val="0B0080"/>
            <w:sz w:val="21"/>
            <w:szCs w:val="21"/>
          </w:rPr>
          <w:t>rabbinic</w:t>
        </w:r>
      </w:hyperlink>
      <w:r>
        <w:rPr>
          <w:rStyle w:val="apple-converted-space"/>
          <w:rFonts w:ascii="Arial" w:hAnsi="Arial" w:cs="Arial"/>
          <w:color w:val="252525"/>
          <w:sz w:val="21"/>
          <w:szCs w:val="21"/>
        </w:rPr>
        <w:t> </w:t>
      </w:r>
      <w:r>
        <w:rPr>
          <w:rFonts w:ascii="Arial" w:hAnsi="Arial" w:cs="Arial"/>
          <w:color w:val="252525"/>
          <w:sz w:val="21"/>
          <w:szCs w:val="21"/>
        </w:rPr>
        <w:t>commentaries, the</w:t>
      </w:r>
      <w:r>
        <w:rPr>
          <w:rStyle w:val="apple-converted-space"/>
          <w:rFonts w:ascii="Arial" w:hAnsi="Arial" w:cs="Arial"/>
          <w:color w:val="252525"/>
          <w:sz w:val="21"/>
          <w:szCs w:val="21"/>
        </w:rPr>
        <w:t> </w:t>
      </w:r>
      <w:r>
        <w:rPr>
          <w:rFonts w:ascii="Arial" w:hAnsi="Arial" w:cs="Arial"/>
          <w:i/>
          <w:iCs/>
          <w:color w:val="252525"/>
          <w:sz w:val="21"/>
          <w:szCs w:val="21"/>
        </w:rPr>
        <w:t>Pugio Fidei</w:t>
      </w:r>
      <w:r>
        <w:rPr>
          <w:rStyle w:val="apple-converted-space"/>
          <w:rFonts w:ascii="Arial" w:hAnsi="Arial" w:cs="Arial"/>
          <w:color w:val="252525"/>
          <w:sz w:val="21"/>
          <w:szCs w:val="21"/>
        </w:rPr>
        <w:t> </w:t>
      </w:r>
      <w:r>
        <w:rPr>
          <w:rFonts w:ascii="Arial" w:hAnsi="Arial" w:cs="Arial"/>
          <w:color w:val="252525"/>
          <w:sz w:val="21"/>
          <w:szCs w:val="21"/>
        </w:rPr>
        <w:t>of</w:t>
      </w:r>
      <w:hyperlink r:id="rId178" w:tooltip="Raymond Martini" w:history="1">
        <w:r>
          <w:rPr>
            <w:rStyle w:val="a6"/>
            <w:rFonts w:ascii="Arial" w:hAnsi="Arial" w:cs="Arial"/>
            <w:color w:val="0B0080"/>
            <w:sz w:val="21"/>
            <w:szCs w:val="21"/>
          </w:rPr>
          <w:t>Raymond Martini</w:t>
        </w:r>
      </w:hyperlink>
      <w:r>
        <w:rPr>
          <w:rStyle w:val="apple-converted-space"/>
          <w:rFonts w:ascii="Arial" w:hAnsi="Arial" w:cs="Arial"/>
          <w:color w:val="252525"/>
          <w:sz w:val="21"/>
          <w:szCs w:val="21"/>
        </w:rPr>
        <w:t> </w:t>
      </w:r>
      <w:r>
        <w:rPr>
          <w:rFonts w:ascii="Arial" w:hAnsi="Arial" w:cs="Arial"/>
          <w:color w:val="252525"/>
          <w:sz w:val="21"/>
          <w:szCs w:val="21"/>
        </w:rPr>
        <w:t xml:space="preserve">and of </w:t>
      </w:r>
      <w:r>
        <w:rPr>
          <w:rFonts w:ascii="Arial" w:hAnsi="Arial" w:cs="Arial"/>
          <w:color w:val="252525"/>
          <w:sz w:val="21"/>
          <w:szCs w:val="21"/>
        </w:rPr>
        <w:lastRenderedPageBreak/>
        <w:t>course the commentaries of St.</w:t>
      </w:r>
      <w:r>
        <w:rPr>
          <w:rStyle w:val="apple-converted-space"/>
          <w:rFonts w:ascii="Arial" w:hAnsi="Arial" w:cs="Arial"/>
          <w:color w:val="252525"/>
          <w:sz w:val="21"/>
          <w:szCs w:val="21"/>
        </w:rPr>
        <w:t> </w:t>
      </w:r>
      <w:hyperlink r:id="rId179" w:tooltip="Thomas Aquinas" w:history="1">
        <w:r>
          <w:rPr>
            <w:rStyle w:val="a6"/>
            <w:rFonts w:ascii="Arial" w:hAnsi="Arial" w:cs="Arial"/>
            <w:color w:val="0B0080"/>
            <w:sz w:val="21"/>
            <w:szCs w:val="21"/>
          </w:rPr>
          <w:t>Thomas Aquinas</w:t>
        </w:r>
      </w:hyperlink>
      <w:r>
        <w:rPr>
          <w:rFonts w:ascii="Arial" w:hAnsi="Arial" w:cs="Arial"/>
          <w:color w:val="252525"/>
          <w:sz w:val="21"/>
          <w:szCs w:val="21"/>
        </w:rPr>
        <w:t>. His lucid and concise exposition, his soundly-based observations made</w:t>
      </w:r>
      <w:r>
        <w:rPr>
          <w:rStyle w:val="apple-converted-space"/>
          <w:rFonts w:ascii="Arial" w:hAnsi="Arial" w:cs="Arial"/>
          <w:color w:val="252525"/>
          <w:sz w:val="21"/>
          <w:szCs w:val="21"/>
        </w:rPr>
        <w:t> </w:t>
      </w:r>
      <w:r w:rsidR="005E6C87">
        <w:rPr>
          <w:rFonts w:ascii="Arial" w:hAnsi="Arial" w:cs="Arial"/>
          <w:i/>
          <w:iCs/>
          <w:color w:val="252525"/>
          <w:sz w:val="21"/>
          <w:szCs w:val="21"/>
        </w:rPr>
        <w:t>Pastilles</w:t>
      </w:r>
      <w:r>
        <w:rPr>
          <w:rStyle w:val="apple-converted-space"/>
          <w:rFonts w:ascii="Arial" w:hAnsi="Arial" w:cs="Arial"/>
          <w:color w:val="252525"/>
          <w:sz w:val="21"/>
          <w:szCs w:val="21"/>
        </w:rPr>
        <w:t> </w:t>
      </w:r>
      <w:r>
        <w:rPr>
          <w:rFonts w:ascii="Arial" w:hAnsi="Arial" w:cs="Arial"/>
          <w:color w:val="252525"/>
          <w:sz w:val="21"/>
          <w:szCs w:val="21"/>
        </w:rPr>
        <w:t>the most-consulted manual of exegesis until the 16th century.</w:t>
      </w:r>
      <w:r>
        <w:rPr>
          <w:rStyle w:val="apple-converted-space"/>
          <w:rFonts w:ascii="Arial" w:hAnsi="Arial" w:cs="Arial"/>
          <w:color w:val="252525"/>
          <w:sz w:val="21"/>
          <w:szCs w:val="21"/>
        </w:rPr>
        <w:t> </w:t>
      </w:r>
      <w:hyperlink r:id="rId180" w:tooltip="Martin Luther" w:history="1">
        <w:r>
          <w:rPr>
            <w:rStyle w:val="a6"/>
            <w:rFonts w:ascii="Arial" w:hAnsi="Arial" w:cs="Arial"/>
            <w:color w:val="0B0080"/>
            <w:sz w:val="21"/>
            <w:szCs w:val="21"/>
          </w:rPr>
          <w:t>Martin Luther</w:t>
        </w:r>
      </w:hyperlink>
      <w:r>
        <w:rPr>
          <w:rStyle w:val="apple-converted-space"/>
          <w:rFonts w:ascii="Arial" w:hAnsi="Arial" w:cs="Arial"/>
          <w:color w:val="252525"/>
          <w:sz w:val="21"/>
          <w:szCs w:val="21"/>
        </w:rPr>
        <w:t> </w:t>
      </w:r>
      <w:r>
        <w:rPr>
          <w:rFonts w:ascii="Arial" w:hAnsi="Arial" w:cs="Arial"/>
          <w:color w:val="252525"/>
          <w:sz w:val="21"/>
          <w:szCs w:val="21"/>
        </w:rPr>
        <w:t>depended upon it. He used his commentaries extensively in his own work on the</w:t>
      </w:r>
      <w:r>
        <w:rPr>
          <w:rStyle w:val="apple-converted-space"/>
          <w:rFonts w:ascii="Arial" w:hAnsi="Arial" w:cs="Arial"/>
          <w:color w:val="252525"/>
          <w:sz w:val="21"/>
          <w:szCs w:val="21"/>
        </w:rPr>
        <w:t> </w:t>
      </w:r>
      <w:hyperlink r:id="rId181" w:tooltip="Book of Genesis" w:history="1">
        <w:r>
          <w:rPr>
            <w:rStyle w:val="a6"/>
            <w:rFonts w:ascii="Arial" w:hAnsi="Arial" w:cs="Arial"/>
            <w:color w:val="0B0080"/>
            <w:sz w:val="21"/>
            <w:szCs w:val="21"/>
          </w:rPr>
          <w:t>book of Genesis</w:t>
        </w:r>
      </w:hyperlink>
      <w:r>
        <w:rPr>
          <w:rFonts w:ascii="Arial" w:hAnsi="Arial" w:cs="Arial"/>
          <w:color w:val="252525"/>
          <w:sz w:val="21"/>
          <w:szCs w:val="21"/>
        </w:rPr>
        <w:t>, "Lectures on Genesis".</w:t>
      </w:r>
      <w:hyperlink r:id="rId182" w:anchor="cite_note-2" w:history="1">
        <w:r>
          <w:rPr>
            <w:rStyle w:val="a6"/>
            <w:rFonts w:ascii="Arial" w:hAnsi="Arial" w:cs="Arial"/>
            <w:color w:val="0B0080"/>
            <w:sz w:val="11"/>
            <w:szCs w:val="11"/>
            <w:vertAlign w:val="superscript"/>
          </w:rPr>
          <w:t>[2]</w:t>
        </w:r>
      </w:hyperlink>
      <w:r>
        <w:rPr>
          <w:rStyle w:val="apple-converted-space"/>
          <w:rFonts w:ascii="Arial" w:hAnsi="Arial" w:cs="Arial"/>
          <w:color w:val="252525"/>
          <w:sz w:val="21"/>
          <w:szCs w:val="21"/>
        </w:rPr>
        <w:t> </w:t>
      </w:r>
      <w:r>
        <w:rPr>
          <w:rFonts w:ascii="Arial" w:hAnsi="Arial" w:cs="Arial"/>
          <w:color w:val="252525"/>
          <w:sz w:val="21"/>
          <w:szCs w:val="21"/>
        </w:rPr>
        <w:t>He also highly praised his works in the</w:t>
      </w:r>
      <w:r>
        <w:rPr>
          <w:rStyle w:val="apple-converted-space"/>
          <w:rFonts w:ascii="Arial" w:hAnsi="Arial" w:cs="Arial"/>
          <w:color w:val="252525"/>
          <w:sz w:val="21"/>
          <w:szCs w:val="21"/>
        </w:rPr>
        <w:t> </w:t>
      </w:r>
      <w:hyperlink r:id="rId183" w:tooltip="Table Talk (Luther)" w:history="1">
        <w:r>
          <w:rPr>
            <w:rStyle w:val="a6"/>
            <w:rFonts w:ascii="Arial" w:hAnsi="Arial" w:cs="Arial"/>
            <w:color w:val="0B0080"/>
            <w:sz w:val="21"/>
            <w:szCs w:val="21"/>
          </w:rPr>
          <w:t>Table Talk</w:t>
        </w:r>
      </w:hyperlink>
      <w:r>
        <w:rPr>
          <w:rFonts w:ascii="Arial" w:hAnsi="Arial" w:cs="Arial"/>
          <w:color w:val="252525"/>
          <w:sz w:val="21"/>
          <w:szCs w:val="21"/>
        </w:rPr>
        <w:t>.</w:t>
      </w:r>
      <w:hyperlink r:id="rId184" w:anchor="cite_note-3" w:history="1">
        <w:r>
          <w:rPr>
            <w:rStyle w:val="a6"/>
            <w:rFonts w:ascii="Arial" w:hAnsi="Arial" w:cs="Arial"/>
            <w:color w:val="0B0080"/>
            <w:sz w:val="11"/>
            <w:szCs w:val="11"/>
            <w:vertAlign w:val="superscript"/>
          </w:rPr>
          <w:t>[3]</w:t>
        </w:r>
      </w:hyperlink>
      <w:r>
        <w:rPr>
          <w:rStyle w:val="apple-converted-space"/>
          <w:rFonts w:ascii="Arial" w:hAnsi="Arial" w:cs="Arial"/>
          <w:color w:val="252525"/>
          <w:sz w:val="21"/>
          <w:szCs w:val="21"/>
        </w:rPr>
        <w:t> </w:t>
      </w:r>
      <w:r>
        <w:rPr>
          <w:rFonts w:ascii="Arial" w:hAnsi="Arial" w:cs="Arial"/>
          <w:color w:val="252525"/>
          <w:sz w:val="21"/>
          <w:szCs w:val="21"/>
        </w:rPr>
        <w:t>When E.A. Gosselin compiled a listing of the printed editions of works by Nicolaus de Lyra, it ran to 27 pages (in</w:t>
      </w:r>
      <w:r>
        <w:rPr>
          <w:rStyle w:val="apple-converted-space"/>
          <w:rFonts w:ascii="Arial" w:hAnsi="Arial" w:cs="Arial"/>
          <w:color w:val="252525"/>
          <w:sz w:val="21"/>
          <w:szCs w:val="21"/>
        </w:rPr>
        <w:t> </w:t>
      </w:r>
      <w:r>
        <w:rPr>
          <w:rFonts w:ascii="Arial" w:hAnsi="Arial" w:cs="Arial"/>
          <w:i/>
          <w:iCs/>
          <w:color w:val="252525"/>
          <w:sz w:val="21"/>
          <w:szCs w:val="21"/>
        </w:rPr>
        <w:t>Traditio 26</w:t>
      </w:r>
      <w:r>
        <w:rPr>
          <w:rStyle w:val="apple-converted-space"/>
          <w:rFonts w:ascii="Arial" w:hAnsi="Arial" w:cs="Arial"/>
          <w:color w:val="252525"/>
          <w:sz w:val="21"/>
          <w:szCs w:val="21"/>
        </w:rPr>
        <w:t> </w:t>
      </w:r>
      <w:r>
        <w:rPr>
          <w:rFonts w:ascii="Arial" w:hAnsi="Arial" w:cs="Arial"/>
          <w:color w:val="252525"/>
          <w:sz w:val="21"/>
          <w:szCs w:val="21"/>
        </w:rPr>
        <w:t>(1970), pp 399–426).</w:t>
      </w:r>
    </w:p>
    <w:p w:rsidR="00517D4F" w:rsidRDefault="00517D4F" w:rsidP="00517D4F">
      <w:pPr>
        <w:pStyle w:val="a7"/>
        <w:spacing w:before="120" w:beforeAutospacing="0" w:after="120" w:afterAutospacing="0"/>
        <w:ind w:left="384"/>
        <w:rPr>
          <w:rFonts w:ascii="Arial" w:hAnsi="Arial" w:cs="Arial"/>
          <w:color w:val="252525"/>
          <w:sz w:val="21"/>
          <w:szCs w:val="21"/>
        </w:rPr>
      </w:pPr>
      <w:r>
        <w:rPr>
          <w:rFonts w:ascii="Arial" w:hAnsi="Arial" w:cs="Arial"/>
          <w:color w:val="252525"/>
          <w:sz w:val="21"/>
          <w:szCs w:val="21"/>
        </w:rPr>
        <w:t>He was born in the village of</w:t>
      </w:r>
      <w:r>
        <w:rPr>
          <w:rStyle w:val="apple-converted-space"/>
          <w:rFonts w:ascii="Arial" w:hAnsi="Arial" w:cs="Arial"/>
          <w:color w:val="252525"/>
          <w:sz w:val="21"/>
          <w:szCs w:val="21"/>
        </w:rPr>
        <w:t> </w:t>
      </w:r>
      <w:hyperlink r:id="rId185" w:tooltip="La Vieille-Lyre" w:history="1">
        <w:r>
          <w:rPr>
            <w:rStyle w:val="a6"/>
            <w:rFonts w:ascii="Arial" w:hAnsi="Arial" w:cs="Arial"/>
            <w:color w:val="0B0080"/>
            <w:sz w:val="21"/>
            <w:szCs w:val="21"/>
          </w:rPr>
          <w:t>La Vieille-Lyre</w:t>
        </w:r>
      </w:hyperlink>
      <w:r>
        <w:rPr>
          <w:rFonts w:ascii="Arial" w:hAnsi="Arial" w:cs="Arial"/>
          <w:color w:val="252525"/>
          <w:sz w:val="21"/>
          <w:szCs w:val="21"/>
        </w:rPr>
        <w:t>,</w:t>
      </w:r>
      <w:r>
        <w:rPr>
          <w:rStyle w:val="apple-converted-space"/>
          <w:rFonts w:ascii="Arial" w:hAnsi="Arial" w:cs="Arial"/>
          <w:color w:val="252525"/>
          <w:sz w:val="21"/>
          <w:szCs w:val="21"/>
        </w:rPr>
        <w:t> </w:t>
      </w:r>
      <w:hyperlink r:id="rId186" w:tooltip="Normandy" w:history="1">
        <w:r>
          <w:rPr>
            <w:rStyle w:val="a6"/>
            <w:rFonts w:ascii="Arial" w:hAnsi="Arial" w:cs="Arial"/>
            <w:color w:val="0B0080"/>
            <w:sz w:val="21"/>
            <w:szCs w:val="21"/>
          </w:rPr>
          <w:t>Normandy</w:t>
        </w:r>
      </w:hyperlink>
      <w:r>
        <w:rPr>
          <w:rFonts w:ascii="Arial" w:hAnsi="Arial" w:cs="Arial"/>
          <w:color w:val="252525"/>
          <w:sz w:val="21"/>
          <w:szCs w:val="21"/>
        </w:rPr>
        <w:t>, hence his name. Like others in the 14th century, he was occupied by the possibility of the</w:t>
      </w:r>
      <w:r>
        <w:rPr>
          <w:rStyle w:val="apple-converted-space"/>
          <w:rFonts w:ascii="Arial" w:hAnsi="Arial" w:cs="Arial"/>
          <w:color w:val="252525"/>
          <w:sz w:val="21"/>
          <w:szCs w:val="21"/>
        </w:rPr>
        <w:t> </w:t>
      </w:r>
      <w:hyperlink r:id="rId187" w:tooltip="Conversion of the Jews" w:history="1">
        <w:r>
          <w:rPr>
            <w:rStyle w:val="a6"/>
            <w:rFonts w:ascii="Arial" w:hAnsi="Arial" w:cs="Arial"/>
            <w:color w:val="0B0080"/>
            <w:sz w:val="21"/>
            <w:szCs w:val="21"/>
          </w:rPr>
          <w:t>conversion of the Jews</w:t>
        </w:r>
      </w:hyperlink>
      <w:r>
        <w:rPr>
          <w:rFonts w:ascii="Arial" w:hAnsi="Arial" w:cs="Arial"/>
          <w:color w:val="252525"/>
          <w:sz w:val="21"/>
          <w:szCs w:val="21"/>
        </w:rPr>
        <w:t>, to whom he dedicated hortatory addresses. He wrote</w:t>
      </w:r>
      <w:r>
        <w:rPr>
          <w:rStyle w:val="apple-converted-space"/>
          <w:rFonts w:ascii="Arial" w:hAnsi="Arial" w:cs="Arial"/>
          <w:color w:val="252525"/>
          <w:sz w:val="21"/>
          <w:szCs w:val="21"/>
        </w:rPr>
        <w:t> </w:t>
      </w:r>
      <w:r>
        <w:rPr>
          <w:rFonts w:ascii="Arial" w:hAnsi="Arial" w:cs="Arial"/>
          <w:i/>
          <w:iCs/>
          <w:color w:val="252525"/>
          <w:sz w:val="21"/>
          <w:szCs w:val="21"/>
        </w:rPr>
        <w:t>Pulcherrimae quaestiones Iudaicam perfidiam in catholicam fide improbantes</w:t>
      </w:r>
      <w:r>
        <w:rPr>
          <w:rFonts w:ascii="Arial" w:hAnsi="Arial" w:cs="Arial"/>
          <w:color w:val="252525"/>
          <w:sz w:val="21"/>
          <w:szCs w:val="21"/>
        </w:rPr>
        <w:t>, which was one of the sources</w:t>
      </w:r>
      <w:r>
        <w:rPr>
          <w:rStyle w:val="apple-converted-space"/>
          <w:rFonts w:ascii="Arial" w:hAnsi="Arial" w:cs="Arial"/>
          <w:color w:val="252525"/>
          <w:sz w:val="21"/>
          <w:szCs w:val="21"/>
        </w:rPr>
        <w:t> </w:t>
      </w:r>
      <w:hyperlink r:id="rId188" w:tooltip="Martin Luther" w:history="1">
        <w:r>
          <w:rPr>
            <w:rStyle w:val="a6"/>
            <w:rFonts w:ascii="Arial" w:hAnsi="Arial" w:cs="Arial"/>
            <w:color w:val="0B0080"/>
            <w:sz w:val="21"/>
            <w:szCs w:val="21"/>
          </w:rPr>
          <w:t>Martin Luther</w:t>
        </w:r>
      </w:hyperlink>
      <w:r>
        <w:rPr>
          <w:rStyle w:val="apple-converted-space"/>
          <w:rFonts w:ascii="Arial" w:hAnsi="Arial" w:cs="Arial"/>
          <w:color w:val="252525"/>
          <w:sz w:val="21"/>
          <w:szCs w:val="21"/>
        </w:rPr>
        <w:t> </w:t>
      </w:r>
      <w:r>
        <w:rPr>
          <w:rFonts w:ascii="Arial" w:hAnsi="Arial" w:cs="Arial"/>
          <w:color w:val="252525"/>
          <w:sz w:val="21"/>
          <w:szCs w:val="21"/>
        </w:rPr>
        <w:t>used in his</w:t>
      </w:r>
      <w:r>
        <w:rPr>
          <w:rStyle w:val="apple-converted-space"/>
          <w:rFonts w:ascii="Arial" w:hAnsi="Arial" w:cs="Arial"/>
          <w:color w:val="252525"/>
          <w:sz w:val="21"/>
          <w:szCs w:val="21"/>
        </w:rPr>
        <w:t> </w:t>
      </w:r>
      <w:hyperlink r:id="rId189" w:tooltip="On the Jews and Their Lies (Martin Luther)" w:history="1">
        <w:r>
          <w:rPr>
            <w:rStyle w:val="a6"/>
            <w:rFonts w:ascii="Arial" w:hAnsi="Arial" w:cs="Arial"/>
            <w:i/>
            <w:iCs/>
            <w:color w:val="0B0080"/>
            <w:sz w:val="21"/>
            <w:szCs w:val="21"/>
          </w:rPr>
          <w:t>On the Jews and Their Lies</w:t>
        </w:r>
      </w:hyperlink>
      <w:r>
        <w:rPr>
          <w:rFonts w:ascii="Arial" w:hAnsi="Arial" w:cs="Arial"/>
          <w:color w:val="252525"/>
          <w:sz w:val="21"/>
          <w:szCs w:val="21"/>
        </w:rPr>
        <w:t>.</w:t>
      </w:r>
    </w:p>
    <w:p w:rsidR="00517D4F" w:rsidRPr="00517D4F" w:rsidRDefault="00517D4F" w:rsidP="00F84A76">
      <w:pPr>
        <w:pStyle w:val="aa"/>
        <w:rPr>
          <w:rFonts w:ascii="Times New Roman" w:hAnsi="Times New Roman"/>
          <w:noProof/>
          <w:sz w:val="20"/>
          <w:szCs w:val="20"/>
        </w:rPr>
      </w:pPr>
    </w:p>
    <w:p w:rsidR="00F84A76" w:rsidRDefault="00F84A76" w:rsidP="00F84A76">
      <w:pPr>
        <w:spacing w:line="480" w:lineRule="auto"/>
        <w:ind w:firstLine="720"/>
        <w:rPr>
          <w:rFonts w:ascii="Times New Roman" w:hAnsi="Times New Roman"/>
          <w:noProof/>
          <w:sz w:val="20"/>
          <w:szCs w:val="20"/>
        </w:rPr>
      </w:pPr>
    </w:p>
    <w:p w:rsidR="00517D4F" w:rsidRPr="005249AC" w:rsidRDefault="0030468C" w:rsidP="00F84A76">
      <w:pPr>
        <w:spacing w:line="480" w:lineRule="auto"/>
        <w:ind w:firstLine="720"/>
        <w:rPr>
          <w:rFonts w:ascii="Times New Roman" w:hAnsi="Times New Roman"/>
          <w:noProof/>
          <w:sz w:val="20"/>
          <w:szCs w:val="20"/>
        </w:rPr>
      </w:pPr>
      <w:r w:rsidRPr="005249AC">
        <w:rPr>
          <w:rFonts w:ascii="Times New Roman" w:hAnsi="Times New Roman"/>
          <w:noProof/>
          <w:sz w:val="20"/>
          <w:szCs w:val="20"/>
        </w:rPr>
        <w:t>Especially Nicholas of Lyra (1270-1349) began to reject the allegorical interpretation and the tradition of the Fathers. Adopting the method of Thomas Aquinas' hermeneutics, Lyra developed his own method for the interpretation of Scripture. He placed considerable emphasis upon the literal sense of Scripture, and especially influenced Luther's hermeneutics</w:t>
      </w:r>
      <w:r w:rsidRPr="005249AC">
        <w:rPr>
          <w:rFonts w:ascii="Times New Roman" w:hAnsi="Times New Roman"/>
          <w:noProof/>
          <w:sz w:val="20"/>
          <w:szCs w:val="20"/>
        </w:rPr>
        <w:footnoteReference w:id="100"/>
      </w:r>
      <w:r w:rsidRPr="005249AC">
        <w:rPr>
          <w:rFonts w:ascii="Times New Roman" w:hAnsi="Times New Roman"/>
          <w:noProof/>
          <w:sz w:val="20"/>
          <w:szCs w:val="20"/>
        </w:rPr>
        <w:t>.</w:t>
      </w:r>
    </w:p>
    <w:p w:rsidR="00251663" w:rsidRDefault="00251663"/>
    <w:sectPr w:rsidR="00251663" w:rsidSect="00510389">
      <w:type w:val="continuous"/>
      <w:pgSz w:w="12240" w:h="15840"/>
      <w:pgMar w:top="1440" w:right="1440" w:bottom="1440" w:left="180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C34" w:rsidRDefault="007C4C34" w:rsidP="00F84A76">
      <w:r>
        <w:separator/>
      </w:r>
    </w:p>
  </w:endnote>
  <w:endnote w:type="continuationSeparator" w:id="1">
    <w:p w:rsidR="007C4C34" w:rsidRDefault="007C4C34" w:rsidP="00F84A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Courier">
    <w:panose1 w:val="02070409020205020404"/>
    <w:charset w:val="00"/>
    <w:family w:val="modern"/>
    <w:notTrueType/>
    <w:pitch w:val="fixed"/>
    <w:sig w:usb0="00000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새굴림">
    <w:panose1 w:val="02030600000101010101"/>
    <w:charset w:val="81"/>
    <w:family w:val="roman"/>
    <w:pitch w:val="variable"/>
    <w:sig w:usb0="B00002AF" w:usb1="7BD77CFB" w:usb2="00000030" w:usb3="00000000" w:csb0="0008009F" w:csb1="00000000"/>
  </w:font>
  <w:font w:name="Estrangelo Edessa">
    <w:panose1 w:val="03080600000000000000"/>
    <w:charset w:val="00"/>
    <w:family w:val="script"/>
    <w:pitch w:val="variable"/>
    <w:sig w:usb0="80002043" w:usb1="00000000" w:usb2="00000080" w:usb3="00000000" w:csb0="00000001" w:csb1="00000000"/>
  </w:font>
  <w:font w:name="JoannaMTStd">
    <w:altName w:val="가는안상수체"/>
    <w:panose1 w:val="00000000000000000000"/>
    <w:charset w:val="81"/>
    <w:family w:val="auto"/>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GillSansStd-Light">
    <w:altName w:val="Arial Unicode MS"/>
    <w:panose1 w:val="00000000000000000000"/>
    <w:charset w:val="81"/>
    <w:family w:val="swiss"/>
    <w:notTrueType/>
    <w:pitch w:val="default"/>
    <w:sig w:usb0="00000001" w:usb1="09060000" w:usb2="00000010" w:usb3="00000000" w:csb0="00080000" w:csb1="00000000"/>
  </w:font>
  <w:font w:name="JoannaMTStd-Italic">
    <w:altName w:val="HyhwpEQ"/>
    <w:panose1 w:val="00000000000000000000"/>
    <w:charset w:val="81"/>
    <w:family w:val="roman"/>
    <w:notTrueType/>
    <w:pitch w:val="default"/>
    <w:sig w:usb0="00000001" w:usb1="09060000" w:usb2="00000010" w:usb3="00000000" w:csb0="00080000" w:csb1="00000000"/>
  </w:font>
  <w:font w:name="AdvOTf00f9d9a.I+fb">
    <w:altName w:val="가는안상수체"/>
    <w:panose1 w:val="00000000000000000000"/>
    <w:charset w:val="81"/>
    <w:family w:val="auto"/>
    <w:notTrueType/>
    <w:pitch w:val="default"/>
    <w:sig w:usb0="00000001" w:usb1="09060000" w:usb2="00000010" w:usb3="00000000" w:csb0="00080000" w:csb1="00000000"/>
  </w:font>
  <w:font w:name="AdvOT736a1096+fb">
    <w:altName w:val="가는안상수체"/>
    <w:panose1 w:val="00000000000000000000"/>
    <w:charset w:val="81"/>
    <w:family w:val="auto"/>
    <w:notTrueType/>
    <w:pitch w:val="default"/>
    <w:sig w:usb0="00000001"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3B2" w:rsidRDefault="00CF03B2">
    <w:pPr>
      <w:spacing w:line="240" w:lineRule="exact"/>
    </w:pPr>
  </w:p>
  <w:p w:rsidR="00CF03B2" w:rsidRDefault="00256EC7">
    <w:pPr>
      <w:framePr w:w="9361" w:wrap="notBeside" w:vAnchor="text" w:hAnchor="text" w:x="1" w:y="1"/>
      <w:jc w:val="center"/>
      <w:rPr>
        <w:rFonts w:cs="Courier"/>
      </w:rPr>
    </w:pPr>
    <w:r>
      <w:rPr>
        <w:rFonts w:cs="Courier"/>
      </w:rPr>
      <w:fldChar w:fldCharType="begin"/>
    </w:r>
    <w:r w:rsidR="00CF03B2">
      <w:rPr>
        <w:rFonts w:cs="Courier"/>
      </w:rPr>
      <w:instrText xml:space="preserve">PAGE </w:instrText>
    </w:r>
    <w:r>
      <w:rPr>
        <w:rFonts w:cs="Courier"/>
      </w:rPr>
      <w:fldChar w:fldCharType="separate"/>
    </w:r>
    <w:r w:rsidR="00772915">
      <w:rPr>
        <w:rFonts w:cs="Courier"/>
        <w:noProof/>
      </w:rPr>
      <w:t>89</w:t>
    </w:r>
    <w:r>
      <w:rPr>
        <w:rFonts w:cs="Courier"/>
      </w:rPr>
      <w:fldChar w:fldCharType="end"/>
    </w:r>
  </w:p>
  <w:p w:rsidR="00CF03B2" w:rsidRDefault="00CF03B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C34" w:rsidRDefault="007C4C34" w:rsidP="00F84A76">
      <w:r>
        <w:separator/>
      </w:r>
    </w:p>
  </w:footnote>
  <w:footnote w:type="continuationSeparator" w:id="1">
    <w:p w:rsidR="007C4C34" w:rsidRDefault="007C4C34" w:rsidP="00F84A76">
      <w:r>
        <w:continuationSeparator/>
      </w:r>
    </w:p>
  </w:footnote>
  <w:footnote w:id="2">
    <w:p w:rsidR="00CF03B2" w:rsidRDefault="00CF03B2" w:rsidP="00F84A76">
      <w:pPr>
        <w:spacing w:after="240"/>
      </w:pPr>
      <w:r>
        <w:t xml:space="preserve">     </w:t>
      </w:r>
      <w:r>
        <w:rPr>
          <w:vertAlign w:val="superscript"/>
        </w:rPr>
        <w:footnoteRef/>
      </w:r>
      <w:r>
        <w:t xml:space="preserve"> </w:t>
      </w:r>
      <w:r>
        <w:rPr>
          <w:i/>
          <w:iCs/>
        </w:rPr>
        <w:t>The Ecclesiastical History of Eusebius Pamphilus</w:t>
      </w:r>
      <w:r>
        <w:t>, trans. Christian Frederick Cruse and Isaac Boyle (Grand Rapids: Baker Book House, 1991), p. 217.</w:t>
      </w:r>
    </w:p>
  </w:footnote>
  <w:footnote w:id="3">
    <w:p w:rsidR="00CF03B2" w:rsidRDefault="00CF03B2" w:rsidP="00F84A76">
      <w:pPr>
        <w:spacing w:after="240"/>
      </w:pPr>
      <w:r>
        <w:t xml:space="preserve">     </w:t>
      </w:r>
      <w:r>
        <w:rPr>
          <w:vertAlign w:val="superscript"/>
        </w:rPr>
        <w:footnoteRef/>
      </w:r>
      <w:r>
        <w:t xml:space="preserve"> Ibid., p. 218. Eusebius recorded as follows; "It was then, too, that the love of martyrdom so powerfully seized the soul of Origen, though yet an almost infant boy, that he advanced so close to encounter danger, and was eager to leap forward and rush upon the conflict. . . . But when he saw that there was no other course for him to pursue, as his great zeal was far beyond his years, he could not remain inactive, but sent to his father a most encouraging letter on martyrdom, in which he encouraged him, saying, `take heed, (father) not to change thy mind on account of us.'" </w:t>
      </w:r>
    </w:p>
  </w:footnote>
  <w:footnote w:id="4">
    <w:p w:rsidR="00CF03B2" w:rsidRDefault="00CF03B2" w:rsidP="00F84A76">
      <w:pPr>
        <w:spacing w:after="240"/>
      </w:pPr>
      <w:r>
        <w:t xml:space="preserve">     </w:t>
      </w:r>
      <w:r>
        <w:rPr>
          <w:vertAlign w:val="superscript"/>
        </w:rPr>
        <w:footnoteRef/>
      </w:r>
      <w:r>
        <w:t xml:space="preserve"> Origen, </w:t>
      </w:r>
      <w:r>
        <w:rPr>
          <w:i/>
          <w:iCs/>
        </w:rPr>
        <w:t>On First Principles</w:t>
      </w:r>
      <w:r>
        <w:t xml:space="preserve">, 4.1, trans. G. W. Butterworth (Gloucester: Peter Smith, 1973), p. 256. </w:t>
      </w:r>
    </w:p>
  </w:footnote>
  <w:footnote w:id="5">
    <w:p w:rsidR="00CF03B2" w:rsidRDefault="00CF03B2" w:rsidP="00F84A76">
      <w:r>
        <w:t xml:space="preserve">     </w:t>
      </w:r>
      <w:r>
        <w:rPr>
          <w:vertAlign w:val="superscript"/>
        </w:rPr>
        <w:footnoteRef/>
      </w:r>
      <w:r>
        <w:t xml:space="preserve"> Origen did not ignore the literal interpretation of the text </w:t>
      </w:r>
    </w:p>
    <w:p w:rsidR="00CF03B2" w:rsidRDefault="00CF03B2" w:rsidP="00F84A76">
      <w:pPr>
        <w:spacing w:after="240"/>
        <w:ind w:firstLine="720"/>
      </w:pPr>
      <w:r>
        <w:t>Theology, ed. Paul Avis (Grand Rapids: Eerdmans, 1988), pp. 31-35.</w:t>
      </w:r>
    </w:p>
  </w:footnote>
  <w:footnote w:id="6">
    <w:p w:rsidR="00CF03B2" w:rsidRDefault="00CF03B2" w:rsidP="00F84A76">
      <w:pPr>
        <w:spacing w:after="240"/>
      </w:pPr>
      <w:r>
        <w:t xml:space="preserve">     </w:t>
      </w:r>
      <w:r>
        <w:rPr>
          <w:vertAlign w:val="superscript"/>
        </w:rPr>
        <w:footnoteRef/>
      </w:r>
      <w:r>
        <w:t xml:space="preserve"> James George Kiecker, "The Hermeneutical Principles and Exegetical Methods of Nicholas of Lyra, O. F. M. (CA. 1270-1349)" (Ph.D. diss., Marquette University, 1978), p. 240.</w:t>
      </w:r>
    </w:p>
  </w:footnote>
  <w:footnote w:id="7">
    <w:p w:rsidR="00CF03B2" w:rsidRDefault="00CF03B2" w:rsidP="00F84A76">
      <w:pPr>
        <w:spacing w:after="240"/>
      </w:pPr>
      <w:r>
        <w:t xml:space="preserve">     </w:t>
      </w:r>
      <w:r>
        <w:rPr>
          <w:vertAlign w:val="superscript"/>
        </w:rPr>
        <w:footnoteRef/>
      </w:r>
      <w:r>
        <w:t xml:space="preserve"> Origen, </w:t>
      </w:r>
      <w:r>
        <w:rPr>
          <w:i/>
          <w:iCs/>
        </w:rPr>
        <w:t>On First Principles</w:t>
      </w:r>
      <w:r>
        <w:t>, 4.2.4, pp. 275-6.</w:t>
      </w:r>
    </w:p>
  </w:footnote>
  <w:footnote w:id="8">
    <w:p w:rsidR="00CF03B2" w:rsidRDefault="00CF03B2" w:rsidP="00F84A76">
      <w:pPr>
        <w:spacing w:after="240"/>
      </w:pPr>
      <w:r>
        <w:t xml:space="preserve">     </w:t>
      </w:r>
      <w:r>
        <w:rPr>
          <w:vertAlign w:val="superscript"/>
        </w:rPr>
        <w:footnoteRef/>
      </w:r>
      <w:r>
        <w:t xml:space="preserve"> Origen, </w:t>
      </w:r>
      <w:r>
        <w:rPr>
          <w:i/>
          <w:iCs/>
        </w:rPr>
        <w:t>On First Principles</w:t>
      </w:r>
      <w:r>
        <w:t>, 4.2.1, p. 269.</w:t>
      </w:r>
    </w:p>
  </w:footnote>
  <w:footnote w:id="9">
    <w:p w:rsidR="00CF03B2" w:rsidRDefault="00CF03B2" w:rsidP="00F84A76">
      <w:pPr>
        <w:spacing w:after="240"/>
      </w:pPr>
      <w:r>
        <w:t xml:space="preserve">     </w:t>
      </w:r>
      <w:r>
        <w:rPr>
          <w:vertAlign w:val="superscript"/>
        </w:rPr>
        <w:footnoteRef/>
      </w:r>
      <w:r>
        <w:t xml:space="preserve"> Frederic W. Farrar, </w:t>
      </w:r>
      <w:r>
        <w:rPr>
          <w:i/>
          <w:iCs/>
        </w:rPr>
        <w:t>History of Interpretation</w:t>
      </w:r>
      <w:r>
        <w:t>, pp. 201-2.</w:t>
      </w:r>
    </w:p>
  </w:footnote>
  <w:footnote w:id="10">
    <w:p w:rsidR="00CF03B2" w:rsidRDefault="00CF03B2" w:rsidP="00F84A76">
      <w:pPr>
        <w:spacing w:after="240"/>
      </w:pPr>
      <w:r>
        <w:t xml:space="preserve">     </w:t>
      </w:r>
      <w:r>
        <w:rPr>
          <w:vertAlign w:val="superscript"/>
        </w:rPr>
        <w:footnoteRef/>
      </w:r>
      <w:r>
        <w:t xml:space="preserve"> </w:t>
      </w:r>
      <w:r>
        <w:rPr>
          <w:i/>
          <w:iCs/>
        </w:rPr>
        <w:t>Inst</w:t>
      </w:r>
      <w:r>
        <w:t>. 2.5.19, p. 339. Cf. CO 2: 246. "</w:t>
      </w:r>
      <w:r>
        <w:rPr>
          <w:i/>
          <w:iCs/>
        </w:rPr>
        <w:t xml:space="preserve">Primum, si nolim locum </w:t>
      </w:r>
    </w:p>
  </w:footnote>
  <w:footnote w:id="11">
    <w:p w:rsidR="00CF03B2" w:rsidRDefault="00CF03B2" w:rsidP="00F84A76">
      <w:pPr>
        <w:spacing w:after="240"/>
      </w:pPr>
      <w:r>
        <w:t xml:space="preserve">     </w:t>
      </w:r>
      <w:r>
        <w:rPr>
          <w:vertAlign w:val="superscript"/>
        </w:rPr>
        <w:footnoteRef/>
      </w:r>
      <w:r>
        <w:t xml:space="preserve"> </w:t>
      </w:r>
      <w:r>
        <w:rPr>
          <w:i/>
          <w:iCs/>
        </w:rPr>
        <w:t>Comm. on Gal</w:t>
      </w:r>
      <w:r>
        <w:t>. 4:22, p. 135.</w:t>
      </w:r>
    </w:p>
  </w:footnote>
  <w:footnote w:id="12">
    <w:p w:rsidR="00CF03B2" w:rsidRDefault="00CF03B2" w:rsidP="00F84A76">
      <w:pPr>
        <w:spacing w:after="240"/>
      </w:pPr>
      <w:r>
        <w:t xml:space="preserve">     </w:t>
      </w:r>
      <w:r>
        <w:rPr>
          <w:vertAlign w:val="superscript"/>
        </w:rPr>
        <w:footnoteRef/>
      </w:r>
      <w:r>
        <w:t xml:space="preserve"> Ibid., pp. 135-6. For studies on Calvin's rejection of allegorical interpretation, see also </w:t>
      </w:r>
      <w:r>
        <w:rPr>
          <w:i/>
          <w:iCs/>
        </w:rPr>
        <w:t>Inst</w:t>
      </w:r>
      <w:r>
        <w:t xml:space="preserve">. 3.4.5; </w:t>
      </w:r>
      <w:r>
        <w:rPr>
          <w:i/>
          <w:iCs/>
        </w:rPr>
        <w:t>Comm. on Gen</w:t>
      </w:r>
      <w:r>
        <w:t xml:space="preserve">. 2:8, </w:t>
      </w:r>
      <w:r>
        <w:rPr>
          <w:i/>
          <w:iCs/>
        </w:rPr>
        <w:t>Comm. on Isa</w:t>
      </w:r>
      <w:r>
        <w:t xml:space="preserve">. 33:18, </w:t>
      </w:r>
      <w:r>
        <w:rPr>
          <w:i/>
          <w:iCs/>
        </w:rPr>
        <w:t>Comm. on Jer</w:t>
      </w:r>
      <w:r>
        <w:t xml:space="preserve">. 31:24, </w:t>
      </w:r>
      <w:r>
        <w:rPr>
          <w:i/>
          <w:iCs/>
        </w:rPr>
        <w:t>Comm. on Da.</w:t>
      </w:r>
      <w:r>
        <w:t xml:space="preserve"> 8: 20-25; 10:6.</w:t>
      </w:r>
    </w:p>
  </w:footnote>
  <w:footnote w:id="13">
    <w:p w:rsidR="00CF03B2" w:rsidRDefault="00CF03B2" w:rsidP="00F84A76">
      <w:pPr>
        <w:spacing w:after="240"/>
      </w:pPr>
      <w:r>
        <w:t xml:space="preserve">     </w:t>
      </w:r>
      <w:r>
        <w:rPr>
          <w:vertAlign w:val="superscript"/>
        </w:rPr>
        <w:footnoteRef/>
      </w:r>
      <w:r>
        <w:t xml:space="preserve"> </w:t>
      </w:r>
      <w:r>
        <w:rPr>
          <w:i/>
          <w:iCs/>
        </w:rPr>
        <w:t>Comm. on 2 Cor</w:t>
      </w:r>
      <w:r>
        <w:t>. 3:6, p. 175.</w:t>
      </w:r>
    </w:p>
  </w:footnote>
  <w:footnote w:id="14">
    <w:p w:rsidR="00CF03B2" w:rsidRDefault="00CF03B2" w:rsidP="00F84A76">
      <w:pPr>
        <w:spacing w:after="240"/>
      </w:pPr>
      <w:r>
        <w:t xml:space="preserve">     </w:t>
      </w:r>
      <w:r>
        <w:rPr>
          <w:vertAlign w:val="superscript"/>
        </w:rPr>
        <w:footnoteRef/>
      </w:r>
      <w:r>
        <w:t xml:space="preserve"> Cf. </w:t>
      </w:r>
      <w:r>
        <w:rPr>
          <w:i/>
          <w:iCs/>
        </w:rPr>
        <w:t>Comm. on Gen</w:t>
      </w:r>
      <w:r>
        <w:t>. 6:14, 21:12.</w:t>
      </w:r>
    </w:p>
  </w:footnote>
  <w:footnote w:id="15">
    <w:p w:rsidR="00CF03B2" w:rsidRPr="002D0795" w:rsidRDefault="00CF03B2" w:rsidP="00F84A76">
      <w:pPr>
        <w:pStyle w:val="a8"/>
      </w:pPr>
      <w:r>
        <w:rPr>
          <w:rStyle w:val="a3"/>
        </w:rPr>
        <w:footnoteRef/>
      </w:r>
      <w:r>
        <w:t xml:space="preserve"> </w:t>
      </w:r>
      <w:hyperlink r:id="rId1" w:history="1">
        <w:r w:rsidRPr="00205017">
          <w:rPr>
            <w:rStyle w:val="a6"/>
          </w:rPr>
          <w:t>https://en.wikipedia.org/wiki/Arius</w:t>
        </w:r>
      </w:hyperlink>
      <w:r>
        <w:rPr>
          <w:rFonts w:hint="eastAsia"/>
        </w:rPr>
        <w:t xml:space="preserve">. </w:t>
      </w:r>
      <w:r>
        <w:rPr>
          <w:rFonts w:ascii="Arial" w:hAnsi="Arial" w:cs="Arial"/>
          <w:b/>
          <w:bCs/>
          <w:color w:val="252525"/>
          <w:sz w:val="21"/>
          <w:szCs w:val="21"/>
          <w:shd w:val="clear" w:color="auto" w:fill="FFFFFF"/>
        </w:rPr>
        <w:t>Arius</w:t>
      </w:r>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w:t>
      </w:r>
      <w:hyperlink r:id="rId2" w:tooltip="Berber languages" w:history="1">
        <w:r>
          <w:rPr>
            <w:rStyle w:val="a6"/>
            <w:rFonts w:ascii="Arial" w:hAnsi="Arial" w:cs="Arial"/>
            <w:color w:val="0B0080"/>
            <w:sz w:val="21"/>
            <w:szCs w:val="21"/>
            <w:shd w:val="clear" w:color="auto" w:fill="FFFFFF"/>
          </w:rPr>
          <w:t>Berber</w:t>
        </w:r>
      </w:hyperlink>
      <w:r>
        <w:rPr>
          <w:rFonts w:ascii="Arial" w:hAnsi="Arial" w:cs="Arial"/>
          <w:color w:val="252525"/>
          <w:sz w:val="21"/>
          <w:szCs w:val="21"/>
          <w:shd w:val="clear" w:color="auto" w:fill="FFFFFF"/>
        </w:rPr>
        <w:t>:</w:t>
      </w:r>
      <w:r>
        <w:rPr>
          <w:rStyle w:val="apple-converted-space"/>
          <w:rFonts w:ascii="Arial" w:hAnsi="Arial" w:cs="Arial"/>
          <w:color w:val="252525"/>
          <w:sz w:val="21"/>
          <w:szCs w:val="21"/>
          <w:shd w:val="clear" w:color="auto" w:fill="FFFFFF"/>
        </w:rPr>
        <w:t> </w:t>
      </w:r>
      <w:r>
        <w:rPr>
          <w:rFonts w:ascii="Arial" w:hAnsi="Arial" w:cs="Arial"/>
          <w:b/>
          <w:bCs/>
          <w:color w:val="252525"/>
          <w:sz w:val="21"/>
          <w:szCs w:val="21"/>
          <w:shd w:val="clear" w:color="auto" w:fill="FFFFFF"/>
        </w:rPr>
        <w:t>Aryus</w:t>
      </w:r>
      <w:r>
        <w:rPr>
          <w:rFonts w:ascii="Arial" w:hAnsi="Arial" w:cs="Arial"/>
          <w:color w:val="252525"/>
          <w:sz w:val="21"/>
          <w:szCs w:val="21"/>
          <w:shd w:val="clear" w:color="auto" w:fill="FFFFFF"/>
        </w:rPr>
        <w:t> ;</w:t>
      </w:r>
      <w:r>
        <w:rPr>
          <w:rStyle w:val="apple-converted-space"/>
          <w:rFonts w:ascii="Arial" w:hAnsi="Arial" w:cs="Arial"/>
          <w:color w:val="252525"/>
          <w:sz w:val="21"/>
          <w:szCs w:val="21"/>
          <w:shd w:val="clear" w:color="auto" w:fill="FFFFFF"/>
        </w:rPr>
        <w:t> </w:t>
      </w:r>
      <w:hyperlink r:id="rId3" w:tooltip="Ancient Greek" w:history="1">
        <w:r>
          <w:rPr>
            <w:rStyle w:val="a6"/>
            <w:rFonts w:ascii="Arial" w:hAnsi="Arial" w:cs="Arial"/>
            <w:color w:val="0B0080"/>
            <w:sz w:val="21"/>
            <w:szCs w:val="21"/>
            <w:shd w:val="clear" w:color="auto" w:fill="FFFFFF"/>
          </w:rPr>
          <w:t>Ancient Greek</w:t>
        </w:r>
      </w:hyperlink>
      <w:r>
        <w:rPr>
          <w:rFonts w:ascii="Arial" w:hAnsi="Arial" w:cs="Arial"/>
          <w:color w:val="252525"/>
          <w:sz w:val="21"/>
          <w:szCs w:val="21"/>
          <w:shd w:val="clear" w:color="auto" w:fill="FFFFFF"/>
        </w:rPr>
        <w:t>:</w:t>
      </w:r>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Ἄρειος, AD 250 or 256–336) was a</w:t>
      </w:r>
      <w:r>
        <w:rPr>
          <w:rStyle w:val="apple-converted-space"/>
          <w:rFonts w:ascii="Arial" w:hAnsi="Arial" w:cs="Arial"/>
          <w:color w:val="252525"/>
          <w:sz w:val="21"/>
          <w:szCs w:val="21"/>
          <w:shd w:val="clear" w:color="auto" w:fill="FFFFFF"/>
        </w:rPr>
        <w:t> </w:t>
      </w:r>
      <w:hyperlink r:id="rId4" w:tooltip="Christian" w:history="1">
        <w:r>
          <w:rPr>
            <w:rStyle w:val="a6"/>
            <w:rFonts w:ascii="Arial" w:hAnsi="Arial" w:cs="Arial"/>
            <w:color w:val="0B0080"/>
            <w:sz w:val="21"/>
            <w:szCs w:val="21"/>
            <w:shd w:val="clear" w:color="auto" w:fill="FFFFFF"/>
          </w:rPr>
          <w:t>Christian</w:t>
        </w:r>
      </w:hyperlink>
      <w:r>
        <w:rPr>
          <w:rStyle w:val="apple-converted-space"/>
          <w:rFonts w:ascii="Arial" w:hAnsi="Arial" w:cs="Arial"/>
          <w:color w:val="252525"/>
          <w:sz w:val="21"/>
          <w:szCs w:val="21"/>
          <w:shd w:val="clear" w:color="auto" w:fill="FFFFFF"/>
        </w:rPr>
        <w:t> </w:t>
      </w:r>
      <w:hyperlink r:id="rId5" w:tooltip="Presbyter" w:history="1">
        <w:r>
          <w:rPr>
            <w:rStyle w:val="a6"/>
            <w:rFonts w:ascii="Arial" w:hAnsi="Arial" w:cs="Arial"/>
            <w:color w:val="0B0080"/>
            <w:sz w:val="21"/>
            <w:szCs w:val="21"/>
            <w:shd w:val="clear" w:color="auto" w:fill="FFFFFF"/>
          </w:rPr>
          <w:t>presbyter</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and</w:t>
      </w:r>
      <w:r>
        <w:rPr>
          <w:rStyle w:val="apple-converted-space"/>
          <w:rFonts w:ascii="Arial" w:hAnsi="Arial" w:cs="Arial"/>
          <w:color w:val="252525"/>
          <w:sz w:val="21"/>
          <w:szCs w:val="21"/>
          <w:shd w:val="clear" w:color="auto" w:fill="FFFFFF"/>
        </w:rPr>
        <w:t> </w:t>
      </w:r>
      <w:hyperlink r:id="rId6" w:tooltip="Ascetic" w:history="1">
        <w:r>
          <w:rPr>
            <w:rStyle w:val="a6"/>
            <w:rFonts w:ascii="Arial" w:hAnsi="Arial" w:cs="Arial"/>
            <w:color w:val="0B0080"/>
            <w:sz w:val="21"/>
            <w:szCs w:val="21"/>
            <w:shd w:val="clear" w:color="auto" w:fill="FFFFFF"/>
          </w:rPr>
          <w:t>ascetic</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of</w:t>
      </w:r>
      <w:r>
        <w:rPr>
          <w:rStyle w:val="apple-converted-space"/>
          <w:rFonts w:ascii="Arial" w:hAnsi="Arial" w:cs="Arial"/>
          <w:color w:val="252525"/>
          <w:sz w:val="21"/>
          <w:szCs w:val="21"/>
          <w:shd w:val="clear" w:color="auto" w:fill="FFFFFF"/>
        </w:rPr>
        <w:t> </w:t>
      </w:r>
      <w:hyperlink r:id="rId7" w:tooltip="Ancient Libya" w:history="1">
        <w:r>
          <w:rPr>
            <w:rStyle w:val="a6"/>
            <w:rFonts w:ascii="Arial" w:hAnsi="Arial" w:cs="Arial"/>
            <w:color w:val="0B0080"/>
            <w:sz w:val="21"/>
            <w:szCs w:val="21"/>
            <w:shd w:val="clear" w:color="auto" w:fill="FFFFFF"/>
          </w:rPr>
          <w:t>Libyan</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birth, possibly of</w:t>
      </w:r>
      <w:r>
        <w:rPr>
          <w:rStyle w:val="apple-converted-space"/>
          <w:rFonts w:ascii="Arial" w:hAnsi="Arial" w:cs="Arial"/>
          <w:color w:val="252525"/>
          <w:sz w:val="21"/>
          <w:szCs w:val="21"/>
          <w:shd w:val="clear" w:color="auto" w:fill="FFFFFF"/>
        </w:rPr>
        <w:t> </w:t>
      </w:r>
      <w:hyperlink r:id="rId8" w:tooltip="Berbers" w:history="1">
        <w:r>
          <w:rPr>
            <w:rStyle w:val="a6"/>
            <w:rFonts w:ascii="Arial" w:hAnsi="Arial" w:cs="Arial"/>
            <w:color w:val="0B0080"/>
            <w:sz w:val="21"/>
            <w:szCs w:val="21"/>
            <w:shd w:val="clear" w:color="auto" w:fill="FFFFFF"/>
          </w:rPr>
          <w:t>Berber</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extraction, and</w:t>
      </w:r>
      <w:r>
        <w:rPr>
          <w:rStyle w:val="apple-converted-space"/>
          <w:rFonts w:ascii="Arial" w:hAnsi="Arial" w:cs="Arial"/>
          <w:color w:val="252525"/>
          <w:sz w:val="21"/>
          <w:szCs w:val="21"/>
          <w:shd w:val="clear" w:color="auto" w:fill="FFFFFF"/>
        </w:rPr>
        <w:t> </w:t>
      </w:r>
      <w:hyperlink r:id="rId9" w:tooltip="Priesthood (Orthodox Church)" w:history="1">
        <w:r>
          <w:rPr>
            <w:rStyle w:val="a6"/>
            <w:rFonts w:ascii="Arial" w:hAnsi="Arial" w:cs="Arial"/>
            <w:color w:val="0B0080"/>
            <w:sz w:val="21"/>
            <w:szCs w:val="21"/>
            <w:shd w:val="clear" w:color="auto" w:fill="FFFFFF"/>
          </w:rPr>
          <w:t>priest</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in</w:t>
      </w:r>
      <w:r>
        <w:rPr>
          <w:rStyle w:val="apple-converted-space"/>
          <w:rFonts w:ascii="Arial" w:hAnsi="Arial" w:cs="Arial"/>
          <w:color w:val="252525"/>
          <w:sz w:val="21"/>
          <w:szCs w:val="21"/>
          <w:shd w:val="clear" w:color="auto" w:fill="FFFFFF"/>
        </w:rPr>
        <w:t> </w:t>
      </w:r>
      <w:hyperlink r:id="rId10" w:tooltip="Alexandria, Egypt" w:history="1">
        <w:r>
          <w:rPr>
            <w:rStyle w:val="a6"/>
            <w:rFonts w:ascii="Arial" w:hAnsi="Arial" w:cs="Arial"/>
            <w:color w:val="0B0080"/>
            <w:sz w:val="21"/>
            <w:szCs w:val="21"/>
            <w:shd w:val="clear" w:color="auto" w:fill="FFFFFF"/>
          </w:rPr>
          <w:t>Alexandria, Egypt</w:t>
        </w:r>
      </w:hyperlink>
      <w:r>
        <w:rPr>
          <w:rFonts w:ascii="Arial" w:hAnsi="Arial" w:cs="Arial"/>
          <w:color w:val="252525"/>
          <w:sz w:val="21"/>
          <w:szCs w:val="21"/>
          <w:shd w:val="clear" w:color="auto" w:fill="FFFFFF"/>
        </w:rPr>
        <w:t>, of the church of the</w:t>
      </w:r>
      <w:r>
        <w:rPr>
          <w:rStyle w:val="apple-converted-space"/>
          <w:rFonts w:ascii="Arial" w:hAnsi="Arial" w:cs="Arial"/>
          <w:color w:val="252525"/>
          <w:sz w:val="21"/>
          <w:szCs w:val="21"/>
          <w:shd w:val="clear" w:color="auto" w:fill="FFFFFF"/>
        </w:rPr>
        <w:t> </w:t>
      </w:r>
      <w:hyperlink r:id="rId11" w:tooltip="Baucalis" w:history="1">
        <w:r>
          <w:rPr>
            <w:rStyle w:val="a6"/>
            <w:rFonts w:ascii="Arial" w:hAnsi="Arial" w:cs="Arial"/>
            <w:color w:val="0B0080"/>
            <w:sz w:val="21"/>
            <w:szCs w:val="21"/>
            <w:shd w:val="clear" w:color="auto" w:fill="FFFFFF"/>
          </w:rPr>
          <w:t>Baucalis</w:t>
        </w:r>
      </w:hyperlink>
      <w:r>
        <w:rPr>
          <w:rFonts w:ascii="Arial" w:hAnsi="Arial" w:cs="Arial"/>
          <w:color w:val="252525"/>
          <w:sz w:val="21"/>
          <w:szCs w:val="21"/>
          <w:shd w:val="clear" w:color="auto" w:fill="FFFFFF"/>
        </w:rPr>
        <w:t>.</w:t>
      </w:r>
      <w:hyperlink r:id="rId12" w:anchor="cite_note-1" w:history="1">
        <w:r>
          <w:rPr>
            <w:rStyle w:val="a6"/>
            <w:rFonts w:ascii="Arial" w:hAnsi="Arial" w:cs="Arial"/>
            <w:color w:val="0B0080"/>
            <w:sz w:val="17"/>
            <w:szCs w:val="17"/>
            <w:shd w:val="clear" w:color="auto" w:fill="FFFFFF"/>
            <w:vertAlign w:val="superscript"/>
          </w:rPr>
          <w:t>[1]</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His teachings about the nature of the</w:t>
      </w:r>
      <w:r>
        <w:rPr>
          <w:rStyle w:val="apple-converted-space"/>
          <w:rFonts w:ascii="Arial" w:hAnsi="Arial" w:cs="Arial"/>
          <w:color w:val="252525"/>
          <w:sz w:val="21"/>
          <w:szCs w:val="21"/>
          <w:shd w:val="clear" w:color="auto" w:fill="FFFFFF"/>
        </w:rPr>
        <w:t> </w:t>
      </w:r>
      <w:hyperlink r:id="rId13" w:tooltip="Godhead (Christianity)" w:history="1">
        <w:r>
          <w:rPr>
            <w:rStyle w:val="a6"/>
            <w:rFonts w:ascii="Arial" w:hAnsi="Arial" w:cs="Arial"/>
            <w:color w:val="0B0080"/>
            <w:sz w:val="21"/>
            <w:szCs w:val="21"/>
            <w:shd w:val="clear" w:color="auto" w:fill="FFFFFF"/>
          </w:rPr>
          <w:t>Godhead</w:t>
        </w:r>
      </w:hyperlink>
      <w:r>
        <w:rPr>
          <w:rFonts w:ascii="Arial" w:hAnsi="Arial" w:cs="Arial"/>
          <w:color w:val="252525"/>
          <w:sz w:val="21"/>
          <w:szCs w:val="21"/>
          <w:shd w:val="clear" w:color="auto" w:fill="FFFFFF"/>
        </w:rPr>
        <w:t>, which emphasized the</w:t>
      </w:r>
      <w:r>
        <w:rPr>
          <w:rStyle w:val="apple-converted-space"/>
          <w:rFonts w:ascii="Arial" w:hAnsi="Arial" w:cs="Arial"/>
          <w:color w:val="252525"/>
          <w:sz w:val="21"/>
          <w:szCs w:val="21"/>
          <w:shd w:val="clear" w:color="auto" w:fill="FFFFFF"/>
        </w:rPr>
        <w:t> </w:t>
      </w:r>
      <w:hyperlink r:id="rId14" w:tooltip="Subordinationism" w:history="1">
        <w:r>
          <w:rPr>
            <w:rStyle w:val="a6"/>
            <w:rFonts w:ascii="Arial" w:hAnsi="Arial" w:cs="Arial"/>
            <w:color w:val="0B0080"/>
            <w:sz w:val="21"/>
            <w:szCs w:val="21"/>
            <w:shd w:val="clear" w:color="auto" w:fill="FFFFFF"/>
          </w:rPr>
          <w:t>Father's divinity over the Son</w:t>
        </w:r>
      </w:hyperlink>
      <w:r>
        <w:rPr>
          <w:rFonts w:ascii="Arial" w:hAnsi="Arial" w:cs="Arial"/>
          <w:color w:val="252525"/>
          <w:sz w:val="21"/>
          <w:szCs w:val="21"/>
          <w:shd w:val="clear" w:color="auto" w:fill="FFFFFF"/>
        </w:rPr>
        <w:t>,</w:t>
      </w:r>
      <w:hyperlink r:id="rId15" w:anchor="cite_note-2" w:history="1">
        <w:r>
          <w:rPr>
            <w:rStyle w:val="a6"/>
            <w:rFonts w:ascii="Arial" w:hAnsi="Arial" w:cs="Arial"/>
            <w:color w:val="0B0080"/>
            <w:sz w:val="17"/>
            <w:szCs w:val="17"/>
            <w:shd w:val="clear" w:color="auto" w:fill="FFFFFF"/>
            <w:vertAlign w:val="superscript"/>
          </w:rPr>
          <w:t>[2]</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and his</w:t>
      </w:r>
      <w:r>
        <w:rPr>
          <w:rStyle w:val="apple-converted-space"/>
          <w:rFonts w:ascii="Arial" w:hAnsi="Arial" w:cs="Arial"/>
          <w:color w:val="252525"/>
          <w:sz w:val="21"/>
          <w:szCs w:val="21"/>
          <w:shd w:val="clear" w:color="auto" w:fill="FFFFFF"/>
        </w:rPr>
        <w:t> </w:t>
      </w:r>
      <w:hyperlink r:id="rId16" w:tooltip="Nontrinitarianism" w:history="1">
        <w:r>
          <w:rPr>
            <w:rStyle w:val="a6"/>
            <w:rFonts w:ascii="Arial" w:hAnsi="Arial" w:cs="Arial"/>
            <w:color w:val="0B0080"/>
            <w:sz w:val="21"/>
            <w:szCs w:val="21"/>
            <w:shd w:val="clear" w:color="auto" w:fill="FFFFFF"/>
          </w:rPr>
          <w:t>opposition</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to what would become the dominant</w:t>
      </w:r>
      <w:r>
        <w:rPr>
          <w:rStyle w:val="apple-converted-space"/>
          <w:rFonts w:ascii="Arial" w:hAnsi="Arial" w:cs="Arial"/>
          <w:color w:val="252525"/>
          <w:sz w:val="21"/>
          <w:szCs w:val="21"/>
          <w:shd w:val="clear" w:color="auto" w:fill="FFFFFF"/>
        </w:rPr>
        <w:t> </w:t>
      </w:r>
      <w:hyperlink r:id="rId17" w:tooltip="Christology" w:history="1">
        <w:r>
          <w:rPr>
            <w:rStyle w:val="a6"/>
            <w:rFonts w:ascii="Arial" w:hAnsi="Arial" w:cs="Arial"/>
            <w:color w:val="0B0080"/>
            <w:sz w:val="21"/>
            <w:szCs w:val="21"/>
            <w:shd w:val="clear" w:color="auto" w:fill="FFFFFF"/>
          </w:rPr>
          <w:t>Christology</w:t>
        </w:r>
      </w:hyperlink>
      <w:r>
        <w:rPr>
          <w:rFonts w:ascii="Arial" w:hAnsi="Arial" w:cs="Arial"/>
          <w:color w:val="252525"/>
          <w:sz w:val="21"/>
          <w:szCs w:val="21"/>
          <w:shd w:val="clear" w:color="auto" w:fill="FFFFFF"/>
        </w:rPr>
        <w:t>,</w:t>
      </w:r>
      <w:r>
        <w:rPr>
          <w:rStyle w:val="apple-converted-space"/>
          <w:rFonts w:ascii="Arial" w:hAnsi="Arial" w:cs="Arial"/>
          <w:color w:val="252525"/>
          <w:sz w:val="21"/>
          <w:szCs w:val="21"/>
          <w:shd w:val="clear" w:color="auto" w:fill="FFFFFF"/>
        </w:rPr>
        <w:t> </w:t>
      </w:r>
      <w:hyperlink r:id="rId18" w:tooltip="Homoousian" w:history="1">
        <w:r>
          <w:rPr>
            <w:rStyle w:val="a6"/>
            <w:rFonts w:ascii="Arial" w:hAnsi="Arial" w:cs="Arial"/>
            <w:color w:val="0B0080"/>
            <w:sz w:val="21"/>
            <w:szCs w:val="21"/>
            <w:shd w:val="clear" w:color="auto" w:fill="FFFFFF"/>
          </w:rPr>
          <w:t>Homoousian Christology</w:t>
        </w:r>
      </w:hyperlink>
      <w:r>
        <w:rPr>
          <w:rFonts w:ascii="Arial" w:hAnsi="Arial" w:cs="Arial"/>
          <w:color w:val="252525"/>
          <w:sz w:val="21"/>
          <w:szCs w:val="21"/>
          <w:shd w:val="clear" w:color="auto" w:fill="FFFFFF"/>
        </w:rPr>
        <w:t>, made him a primary topic of the</w:t>
      </w:r>
      <w:r>
        <w:rPr>
          <w:rStyle w:val="apple-converted-space"/>
          <w:rFonts w:ascii="Arial" w:hAnsi="Arial" w:cs="Arial"/>
          <w:color w:val="252525"/>
          <w:sz w:val="21"/>
          <w:szCs w:val="21"/>
          <w:shd w:val="clear" w:color="auto" w:fill="FFFFFF"/>
        </w:rPr>
        <w:t> </w:t>
      </w:r>
      <w:hyperlink r:id="rId19" w:tooltip="First Council of Nicea" w:history="1">
        <w:r>
          <w:rPr>
            <w:rStyle w:val="a6"/>
            <w:rFonts w:ascii="Arial" w:hAnsi="Arial" w:cs="Arial"/>
            <w:color w:val="0B0080"/>
            <w:sz w:val="21"/>
            <w:szCs w:val="21"/>
            <w:shd w:val="clear" w:color="auto" w:fill="FFFFFF"/>
          </w:rPr>
          <w:t>First Council of Nicea</w:t>
        </w:r>
      </w:hyperlink>
      <w:r>
        <w:rPr>
          <w:rFonts w:ascii="Arial" w:hAnsi="Arial" w:cs="Arial"/>
          <w:color w:val="252525"/>
          <w:sz w:val="21"/>
          <w:szCs w:val="21"/>
          <w:shd w:val="clear" w:color="auto" w:fill="FFFFFF"/>
        </w:rPr>
        <w:t>, convened by</w:t>
      </w:r>
      <w:hyperlink r:id="rId20" w:tooltip="Constantine I" w:history="1">
        <w:r>
          <w:rPr>
            <w:rStyle w:val="a6"/>
            <w:rFonts w:ascii="Arial" w:hAnsi="Arial" w:cs="Arial"/>
            <w:color w:val="0B0080"/>
            <w:sz w:val="21"/>
            <w:szCs w:val="21"/>
            <w:shd w:val="clear" w:color="auto" w:fill="FFFFFF"/>
          </w:rPr>
          <w:t>Roman Emperor Constantine</w:t>
        </w:r>
      </w:hyperlink>
      <w:r>
        <w:rPr>
          <w:rStyle w:val="apple-converted-space"/>
          <w:rFonts w:ascii="Arial" w:hAnsi="Arial" w:cs="Arial"/>
          <w:color w:val="252525"/>
          <w:sz w:val="21"/>
          <w:szCs w:val="21"/>
          <w:shd w:val="clear" w:color="auto" w:fill="FFFFFF"/>
        </w:rPr>
        <w:t> </w:t>
      </w:r>
      <w:r>
        <w:rPr>
          <w:rFonts w:ascii="Arial" w:hAnsi="Arial" w:cs="Arial"/>
          <w:color w:val="252525"/>
          <w:sz w:val="21"/>
          <w:szCs w:val="21"/>
          <w:shd w:val="clear" w:color="auto" w:fill="FFFFFF"/>
        </w:rPr>
        <w:t>in AD 325.</w:t>
      </w:r>
    </w:p>
  </w:footnote>
  <w:footnote w:id="16">
    <w:p w:rsidR="00967052" w:rsidRPr="00967052" w:rsidRDefault="00967052">
      <w:pPr>
        <w:pStyle w:val="a8"/>
        <w:rPr>
          <w:rFonts w:ascii="Times New Roman" w:hAnsi="Times New Roman"/>
          <w:sz w:val="18"/>
          <w:szCs w:val="18"/>
        </w:rPr>
      </w:pPr>
      <w:r w:rsidRPr="00967052">
        <w:rPr>
          <w:rStyle w:val="a3"/>
          <w:rFonts w:ascii="Times New Roman" w:hAnsi="Times New Roman"/>
          <w:sz w:val="18"/>
          <w:szCs w:val="18"/>
        </w:rPr>
        <w:footnoteRef/>
      </w:r>
      <w:r w:rsidRPr="00967052">
        <w:rPr>
          <w:rFonts w:ascii="Times New Roman" w:hAnsi="Times New Roman"/>
          <w:sz w:val="18"/>
          <w:szCs w:val="18"/>
        </w:rPr>
        <w:t xml:space="preserve"> First attested in medieval Latin </w:t>
      </w:r>
      <w:hyperlink r:id="rId21" w:anchor="Latin" w:tooltip="si fueris Romae, Romano vivito more; si fueris alibi, vivito sicut ibi" w:history="1">
        <w:r w:rsidRPr="00967052">
          <w:rPr>
            <w:rStyle w:val="a6"/>
            <w:rFonts w:ascii="Times New Roman" w:hAnsi="Times New Roman"/>
            <w:i/>
            <w:iCs/>
            <w:sz w:val="18"/>
            <w:szCs w:val="18"/>
            <w:lang w:val="la-Latn"/>
          </w:rPr>
          <w:t>si fueris Rōmae, Rōmānō vīvitō mōre; si fueris alibī, vīvitō sicut ibi</w:t>
        </w:r>
      </w:hyperlink>
      <w:r w:rsidRPr="00967052">
        <w:rPr>
          <w:rFonts w:ascii="Times New Roman" w:hAnsi="Times New Roman"/>
          <w:sz w:val="18"/>
          <w:szCs w:val="18"/>
        </w:rPr>
        <w:t xml:space="preserve"> ‎(</w:t>
      </w:r>
      <w:r w:rsidRPr="00967052">
        <w:rPr>
          <w:rStyle w:val="mention-gloss-double-quote1"/>
          <w:rFonts w:ascii="Times New Roman" w:hAnsi="Times New Roman"/>
          <w:sz w:val="18"/>
          <w:szCs w:val="18"/>
        </w:rPr>
        <w:t>“</w:t>
      </w:r>
      <w:r w:rsidRPr="00967052">
        <w:rPr>
          <w:rStyle w:val="mention-gloss1"/>
          <w:rFonts w:ascii="Times New Roman" w:hAnsi="Times New Roman"/>
          <w:sz w:val="18"/>
          <w:szCs w:val="18"/>
        </w:rPr>
        <w:t>if you should be in Rome, live in the Roman manner; if you should be elsewhere, live as they do there</w:t>
      </w:r>
      <w:r w:rsidRPr="00967052">
        <w:rPr>
          <w:rStyle w:val="mention-gloss-double-quote1"/>
          <w:rFonts w:ascii="Times New Roman" w:hAnsi="Times New Roman"/>
          <w:sz w:val="18"/>
          <w:szCs w:val="18"/>
        </w:rPr>
        <w:t>”</w:t>
      </w:r>
      <w:r w:rsidRPr="00967052">
        <w:rPr>
          <w:rFonts w:ascii="Times New Roman" w:hAnsi="Times New Roman"/>
          <w:sz w:val="18"/>
          <w:szCs w:val="18"/>
        </w:rPr>
        <w:t xml:space="preserve">); which is attributed to </w:t>
      </w:r>
      <w:hyperlink r:id="rId22" w:tooltip="w:Saint Ambrose" w:history="1">
        <w:r w:rsidRPr="00967052">
          <w:rPr>
            <w:rStyle w:val="a6"/>
            <w:rFonts w:ascii="Times New Roman" w:hAnsi="Times New Roman"/>
            <w:sz w:val="18"/>
            <w:szCs w:val="18"/>
          </w:rPr>
          <w:t>St Ambrose</w:t>
        </w:r>
      </w:hyperlink>
      <w:r w:rsidRPr="00967052">
        <w:rPr>
          <w:rFonts w:ascii="Times New Roman" w:hAnsi="Times New Roman"/>
          <w:sz w:val="18"/>
          <w:szCs w:val="18"/>
        </w:rPr>
        <w:t>.</w:t>
      </w:r>
    </w:p>
  </w:footnote>
  <w:footnote w:id="17">
    <w:p w:rsidR="001472B4" w:rsidRDefault="001472B4" w:rsidP="001472B4">
      <w:pPr>
        <w:pStyle w:val="a7"/>
      </w:pPr>
      <w:r>
        <w:rPr>
          <w:rStyle w:val="a3"/>
        </w:rPr>
        <w:footnoteRef/>
      </w:r>
      <w:r>
        <w:t xml:space="preserve"> </w:t>
      </w:r>
      <w:r>
        <w:rPr>
          <w:b/>
          <w:bCs/>
        </w:rPr>
        <w:t>Didymus the Blind</w:t>
      </w:r>
      <w:r>
        <w:t xml:space="preserve"> (alternatively spelled </w:t>
      </w:r>
      <w:r>
        <w:rPr>
          <w:b/>
          <w:bCs/>
        </w:rPr>
        <w:t>Dedimus</w:t>
      </w:r>
      <w:r>
        <w:t xml:space="preserve"> or </w:t>
      </w:r>
      <w:r>
        <w:rPr>
          <w:b/>
          <w:bCs/>
        </w:rPr>
        <w:t>Didymous</w:t>
      </w:r>
      <w:r>
        <w:t>)</w:t>
      </w:r>
      <w:hyperlink r:id="rId23" w:anchor="cite_note-1" w:history="1">
        <w:r>
          <w:rPr>
            <w:color w:val="0000FF"/>
            <w:sz w:val="19"/>
            <w:szCs w:val="19"/>
            <w:u w:val="single"/>
            <w:vertAlign w:val="superscript"/>
          </w:rPr>
          <w:t>[1]</w:t>
        </w:r>
      </w:hyperlink>
      <w:r>
        <w:t xml:space="preserve"> (c. 313 – 398) was a </w:t>
      </w:r>
      <w:hyperlink r:id="rId24" w:tooltip="Christian" w:history="1">
        <w:r>
          <w:rPr>
            <w:rStyle w:val="a6"/>
          </w:rPr>
          <w:t>Christian</w:t>
        </w:r>
      </w:hyperlink>
      <w:r>
        <w:t xml:space="preserve"> </w:t>
      </w:r>
      <w:hyperlink r:id="rId25" w:tooltip="Theologian" w:history="1">
        <w:r>
          <w:rPr>
            <w:rStyle w:val="a6"/>
          </w:rPr>
          <w:t>theologian</w:t>
        </w:r>
      </w:hyperlink>
      <w:r>
        <w:t xml:space="preserve"> in the </w:t>
      </w:r>
      <w:hyperlink r:id="rId26" w:tooltip="Coptic Church" w:history="1">
        <w:r>
          <w:rPr>
            <w:rStyle w:val="a6"/>
          </w:rPr>
          <w:t>Coptic Church</w:t>
        </w:r>
      </w:hyperlink>
      <w:r>
        <w:t xml:space="preserve"> of </w:t>
      </w:r>
      <w:hyperlink r:id="rId27" w:tooltip="Alexandria" w:history="1">
        <w:r>
          <w:rPr>
            <w:rStyle w:val="a6"/>
          </w:rPr>
          <w:t>Alexandria</w:t>
        </w:r>
      </w:hyperlink>
      <w:r>
        <w:t xml:space="preserve">, whose famous </w:t>
      </w:r>
      <w:hyperlink r:id="rId28" w:tooltip="Catechetical School of Alexandria" w:history="1">
        <w:r>
          <w:rPr>
            <w:rStyle w:val="a6"/>
          </w:rPr>
          <w:t>Catechetical School</w:t>
        </w:r>
      </w:hyperlink>
      <w:r>
        <w:t xml:space="preserve"> he led for about half a century. Despite his impaired vision, his memory was so powerful that he mastered </w:t>
      </w:r>
      <w:hyperlink r:id="rId29" w:tooltip="Dialectics" w:history="1">
        <w:r>
          <w:rPr>
            <w:rStyle w:val="a6"/>
          </w:rPr>
          <w:t>dialectics</w:t>
        </w:r>
      </w:hyperlink>
      <w:r>
        <w:t xml:space="preserve"> and geometry, subjects whose study usually benefits appreciably from sight.</w:t>
      </w:r>
      <w:r>
        <w:rPr>
          <w:rFonts w:hint="eastAsia"/>
        </w:rPr>
        <w:t xml:space="preserve"> </w:t>
      </w:r>
      <w:r>
        <w:t xml:space="preserve">Didymus wrote many works: Commentaries on all the Psalms, the </w:t>
      </w:r>
      <w:r>
        <w:rPr>
          <w:i/>
          <w:iCs/>
        </w:rPr>
        <w:t>Gospel of Matthew</w:t>
      </w:r>
      <w:r>
        <w:t xml:space="preserve">, the </w:t>
      </w:r>
      <w:r>
        <w:rPr>
          <w:i/>
          <w:iCs/>
        </w:rPr>
        <w:t>Gospel of John</w:t>
      </w:r>
      <w:r>
        <w:t xml:space="preserve"> as </w:t>
      </w:r>
      <w:r>
        <w:rPr>
          <w:i/>
          <w:iCs/>
        </w:rPr>
        <w:t xml:space="preserve">Against the </w:t>
      </w:r>
      <w:hyperlink r:id="rId30" w:tooltip="Arians" w:history="1">
        <w:r>
          <w:rPr>
            <w:i/>
            <w:iCs/>
            <w:color w:val="0000FF"/>
            <w:u w:val="single"/>
          </w:rPr>
          <w:t>Arians</w:t>
        </w:r>
      </w:hyperlink>
      <w:r>
        <w:t xml:space="preserve">, and </w:t>
      </w:r>
      <w:r>
        <w:rPr>
          <w:i/>
          <w:iCs/>
        </w:rPr>
        <w:t xml:space="preserve">On the </w:t>
      </w:r>
      <w:hyperlink r:id="rId31" w:tooltip="Holy Spirit" w:history="1">
        <w:r>
          <w:rPr>
            <w:rStyle w:val="a6"/>
            <w:i/>
            <w:iCs/>
          </w:rPr>
          <w:t>Holy Spirit</w:t>
        </w:r>
      </w:hyperlink>
      <w:r>
        <w:t xml:space="preserve">, which </w:t>
      </w:r>
      <w:hyperlink r:id="rId32" w:tooltip="Jerome" w:history="1">
        <w:r>
          <w:rPr>
            <w:rStyle w:val="a6"/>
          </w:rPr>
          <w:t>Jerome</w:t>
        </w:r>
      </w:hyperlink>
      <w:r>
        <w:t xml:space="preserve"> translated into Latin. He also wrote on Isaiah, Hosea, Zechariah, Job, and many other topics.</w:t>
      </w:r>
      <w:hyperlink r:id="rId33" w:anchor="cite_note-2" w:history="1">
        <w:r>
          <w:rPr>
            <w:color w:val="0000FF"/>
            <w:sz w:val="19"/>
            <w:szCs w:val="19"/>
            <w:u w:val="single"/>
            <w:vertAlign w:val="superscript"/>
          </w:rPr>
          <w:t>[2]</w:t>
        </w:r>
      </w:hyperlink>
      <w:r>
        <w:t xml:space="preserve"> Didymus’ biblical commentaries, which supposedly addressed nearly all the books of the Bible, survive in fragments only. His </w:t>
      </w:r>
      <w:r>
        <w:rPr>
          <w:i/>
          <w:iCs/>
        </w:rPr>
        <w:t>Catholic Letters</w:t>
      </w:r>
      <w:r>
        <w:t xml:space="preserve"> are of dubious authenticity. He is probably the author of a treatise on the Holy Spirit that is extant in Latin translation.</w:t>
      </w:r>
    </w:p>
    <w:p w:rsidR="001472B4" w:rsidRDefault="001472B4" w:rsidP="001472B4">
      <w:pPr>
        <w:pStyle w:val="a7"/>
      </w:pPr>
      <w:r>
        <w:t xml:space="preserve">He was a loyal follower of </w:t>
      </w:r>
      <w:hyperlink r:id="rId34" w:tooltip="Origen" w:history="1">
        <w:r>
          <w:rPr>
            <w:rStyle w:val="a6"/>
          </w:rPr>
          <w:t>Origen</w:t>
        </w:r>
      </w:hyperlink>
      <w:r>
        <w:t xml:space="preserve">, and opposed </w:t>
      </w:r>
      <w:hyperlink r:id="rId35" w:tooltip="Arian" w:history="1">
        <w:r>
          <w:rPr>
            <w:rStyle w:val="a6"/>
          </w:rPr>
          <w:t>Arian</w:t>
        </w:r>
      </w:hyperlink>
      <w:r>
        <w:t xml:space="preserve"> and </w:t>
      </w:r>
      <w:hyperlink r:id="rId36" w:tooltip="Pneumatomachi" w:history="1">
        <w:r>
          <w:rPr>
            <w:rStyle w:val="a6"/>
          </w:rPr>
          <w:t>Macedonian</w:t>
        </w:r>
      </w:hyperlink>
      <w:r>
        <w:t xml:space="preserve"> teachings.</w:t>
      </w:r>
      <w:hyperlink r:id="rId37" w:anchor="cite_note-3" w:history="1">
        <w:r>
          <w:rPr>
            <w:color w:val="0000FF"/>
            <w:sz w:val="19"/>
            <w:szCs w:val="19"/>
            <w:u w:val="single"/>
            <w:vertAlign w:val="superscript"/>
          </w:rPr>
          <w:t>[3]</w:t>
        </w:r>
      </w:hyperlink>
      <w:r>
        <w:t xml:space="preserve"> Such of his writings as survive show a remarkable knowledge of scripture, and have distinct value as theological literature.</w:t>
      </w:r>
      <w:hyperlink r:id="rId38" w:anchor="cite_note-EB1911-4" w:history="1">
        <w:r>
          <w:rPr>
            <w:color w:val="0000FF"/>
            <w:sz w:val="19"/>
            <w:szCs w:val="19"/>
            <w:u w:val="single"/>
            <w:vertAlign w:val="superscript"/>
          </w:rPr>
          <w:t>[4]</w:t>
        </w:r>
      </w:hyperlink>
    </w:p>
    <w:p w:rsidR="001472B4" w:rsidRPr="001472B4" w:rsidRDefault="001472B4">
      <w:pPr>
        <w:pStyle w:val="a8"/>
        <w:rPr>
          <w:sz w:val="20"/>
          <w:szCs w:val="20"/>
        </w:rPr>
      </w:pPr>
    </w:p>
  </w:footnote>
  <w:footnote w:id="18">
    <w:p w:rsidR="00CF03B2" w:rsidRPr="001472B4" w:rsidRDefault="00CF03B2" w:rsidP="00F84A76">
      <w:pPr>
        <w:spacing w:after="240"/>
        <w:rPr>
          <w:sz w:val="20"/>
          <w:szCs w:val="20"/>
        </w:rPr>
      </w:pPr>
      <w:r w:rsidRPr="001472B4">
        <w:rPr>
          <w:sz w:val="20"/>
          <w:szCs w:val="20"/>
        </w:rPr>
        <w:t xml:space="preserve">     </w:t>
      </w:r>
      <w:r w:rsidRPr="001472B4">
        <w:rPr>
          <w:sz w:val="20"/>
          <w:szCs w:val="20"/>
          <w:vertAlign w:val="superscript"/>
        </w:rPr>
        <w:footnoteRef/>
      </w:r>
      <w:r w:rsidRPr="001472B4">
        <w:rPr>
          <w:sz w:val="20"/>
          <w:szCs w:val="20"/>
        </w:rPr>
        <w:t xml:space="preserve"> For the studies of the interpretation of Ambrose, see Milton S. Terry, </w:t>
      </w:r>
      <w:r w:rsidRPr="001472B4">
        <w:rPr>
          <w:i/>
          <w:iCs/>
          <w:sz w:val="20"/>
          <w:szCs w:val="20"/>
        </w:rPr>
        <w:t>Biblical Hermeneutics: A Treatise on the Interpretation of the Old and New Testament</w:t>
      </w:r>
      <w:r w:rsidRPr="001472B4">
        <w:rPr>
          <w:sz w:val="20"/>
          <w:szCs w:val="20"/>
        </w:rPr>
        <w:t xml:space="preserve"> (Grand Rapids: Zondervan Publishing House, 1986), p. 655; </w:t>
      </w:r>
    </w:p>
  </w:footnote>
  <w:footnote w:id="19">
    <w:p w:rsidR="00CF03B2" w:rsidRDefault="00CF03B2" w:rsidP="00F84A76">
      <w:pPr>
        <w:spacing w:after="240"/>
      </w:pPr>
      <w:r w:rsidRPr="001472B4">
        <w:rPr>
          <w:sz w:val="20"/>
          <w:szCs w:val="20"/>
        </w:rPr>
        <w:t xml:space="preserve">     </w:t>
      </w:r>
      <w:r w:rsidRPr="001472B4">
        <w:rPr>
          <w:sz w:val="20"/>
          <w:szCs w:val="20"/>
          <w:vertAlign w:val="superscript"/>
        </w:rPr>
        <w:footnoteRef/>
      </w:r>
      <w:r w:rsidRPr="001472B4">
        <w:rPr>
          <w:sz w:val="20"/>
          <w:szCs w:val="20"/>
        </w:rPr>
        <w:t xml:space="preserve"> Beryl Smalley, </w:t>
      </w:r>
      <w:r w:rsidRPr="001472B4">
        <w:rPr>
          <w:i/>
          <w:iCs/>
          <w:sz w:val="20"/>
          <w:szCs w:val="20"/>
        </w:rPr>
        <w:t>The Study of the Bible in the Middle Ages</w:t>
      </w:r>
      <w:r w:rsidRPr="001472B4">
        <w:rPr>
          <w:sz w:val="20"/>
          <w:szCs w:val="20"/>
        </w:rPr>
        <w:t xml:space="preserve"> (Notre Dame: University of Notre Dame Press, 1978). p. 20. "St. Ambrose made Philo Judaeus the basis of his commentary on Genesis. . . . but he added allegories and he used Origen for his commentary on St. Luke."</w:t>
      </w:r>
      <w:r>
        <w:t xml:space="preserve"> </w:t>
      </w:r>
    </w:p>
  </w:footnote>
  <w:footnote w:id="20">
    <w:p w:rsidR="00CF03B2" w:rsidRDefault="00CF03B2" w:rsidP="00F84A76">
      <w:pPr>
        <w:spacing w:after="240"/>
      </w:pPr>
      <w:r>
        <w:t xml:space="preserve">     </w:t>
      </w:r>
      <w:r>
        <w:rPr>
          <w:vertAlign w:val="superscript"/>
        </w:rPr>
        <w:footnoteRef/>
      </w:r>
      <w:r>
        <w:t xml:space="preserve"> </w:t>
      </w:r>
      <w:r>
        <w:rPr>
          <w:i/>
          <w:iCs/>
        </w:rPr>
        <w:t>Inst</w:t>
      </w:r>
      <w:r>
        <w:t xml:space="preserve">. 3.11.23, pp. 753-4. </w:t>
      </w:r>
    </w:p>
  </w:footnote>
  <w:footnote w:id="21">
    <w:p w:rsidR="00CF03B2" w:rsidRDefault="00CF03B2" w:rsidP="00F84A76">
      <w:pPr>
        <w:spacing w:after="240"/>
      </w:pPr>
      <w:r>
        <w:t xml:space="preserve">     </w:t>
      </w:r>
      <w:r>
        <w:rPr>
          <w:vertAlign w:val="superscript"/>
        </w:rPr>
        <w:footnoteRef/>
      </w:r>
      <w:r>
        <w:t xml:space="preserve"> </w:t>
      </w:r>
      <w:r>
        <w:rPr>
          <w:i/>
          <w:iCs/>
        </w:rPr>
        <w:t>Comm. on 1 Cor</w:t>
      </w:r>
      <w:r>
        <w:t>. 9:5, p. 293.</w:t>
      </w:r>
    </w:p>
  </w:footnote>
  <w:footnote w:id="22">
    <w:p w:rsidR="00CF03B2" w:rsidRDefault="00CF03B2" w:rsidP="00F84A76">
      <w:pPr>
        <w:spacing w:after="240"/>
      </w:pPr>
      <w:r>
        <w:t xml:space="preserve">     </w:t>
      </w:r>
      <w:r>
        <w:rPr>
          <w:vertAlign w:val="superscript"/>
        </w:rPr>
        <w:footnoteRef/>
      </w:r>
      <w:r>
        <w:t xml:space="preserve"> </w:t>
      </w:r>
      <w:r>
        <w:rPr>
          <w:i/>
          <w:iCs/>
        </w:rPr>
        <w:t>Comm. on 2 Cor</w:t>
      </w:r>
      <w:r>
        <w:t>. 2:5, p. 149.</w:t>
      </w:r>
    </w:p>
  </w:footnote>
  <w:footnote w:id="23">
    <w:p w:rsidR="00CF03B2" w:rsidRDefault="00CF03B2" w:rsidP="00F84A76">
      <w:pPr>
        <w:spacing w:after="240"/>
      </w:pPr>
      <w:r>
        <w:t xml:space="preserve">     </w:t>
      </w:r>
      <w:r>
        <w:rPr>
          <w:vertAlign w:val="superscript"/>
        </w:rPr>
        <w:footnoteRef/>
      </w:r>
      <w:r>
        <w:t xml:space="preserve"> </w:t>
      </w:r>
      <w:r>
        <w:rPr>
          <w:i/>
          <w:iCs/>
        </w:rPr>
        <w:t>Comm. on 1 Th</w:t>
      </w:r>
      <w:r>
        <w:t>. 5:22, p. 302.</w:t>
      </w:r>
    </w:p>
  </w:footnote>
  <w:footnote w:id="24">
    <w:p w:rsidR="00CF03B2" w:rsidRDefault="00CF03B2" w:rsidP="00F84A76">
      <w:pPr>
        <w:spacing w:after="240"/>
      </w:pPr>
      <w:r>
        <w:t xml:space="preserve">     </w:t>
      </w:r>
      <w:r>
        <w:rPr>
          <w:vertAlign w:val="superscript"/>
        </w:rPr>
        <w:footnoteRef/>
      </w:r>
      <w:r>
        <w:t xml:space="preserve"> </w:t>
      </w:r>
      <w:r>
        <w:rPr>
          <w:i/>
          <w:iCs/>
        </w:rPr>
        <w:t>Comm. on 2 Cor</w:t>
      </w:r>
      <w:r>
        <w:t>. 4:6, pp. 199-200.</w:t>
      </w:r>
    </w:p>
  </w:footnote>
  <w:footnote w:id="25">
    <w:p w:rsidR="00CF03B2" w:rsidRDefault="00CF03B2" w:rsidP="00F84A76">
      <w:pPr>
        <w:spacing w:after="240"/>
      </w:pPr>
      <w:r>
        <w:t xml:space="preserve">     </w:t>
      </w:r>
      <w:r>
        <w:rPr>
          <w:vertAlign w:val="superscript"/>
        </w:rPr>
        <w:footnoteRef/>
      </w:r>
      <w:r>
        <w:t xml:space="preserve"> Robert M. Grant, </w:t>
      </w:r>
      <w:r>
        <w:rPr>
          <w:i/>
          <w:iCs/>
        </w:rPr>
        <w:t>A Short History of the Interpretation of the Bible</w:t>
      </w:r>
      <w:r>
        <w:t xml:space="preserve"> (New York: Macmillan, 1986), p. 96. </w:t>
      </w:r>
    </w:p>
  </w:footnote>
  <w:footnote w:id="26">
    <w:p w:rsidR="00CF03B2" w:rsidRDefault="00CF03B2" w:rsidP="00F84A76">
      <w:pPr>
        <w:spacing w:after="240"/>
      </w:pPr>
      <w:r>
        <w:t xml:space="preserve">     </w:t>
      </w:r>
      <w:r>
        <w:rPr>
          <w:vertAlign w:val="superscript"/>
        </w:rPr>
        <w:footnoteRef/>
      </w:r>
      <w:r>
        <w:t xml:space="preserve"> A. Berkeley Mickelsen, </w:t>
      </w:r>
      <w:r>
        <w:rPr>
          <w:i/>
          <w:iCs/>
        </w:rPr>
        <w:t>Interpreting the Bible</w:t>
      </w:r>
      <w:r>
        <w:t xml:space="preserve"> (Grand Rapids: Eerdmans, 1987), p. 33.</w:t>
      </w:r>
    </w:p>
  </w:footnote>
  <w:footnote w:id="27">
    <w:p w:rsidR="00CF03B2" w:rsidRDefault="00CF03B2" w:rsidP="00F84A76">
      <w:pPr>
        <w:spacing w:after="240"/>
      </w:pPr>
      <w:r>
        <w:t xml:space="preserve">     </w:t>
      </w:r>
      <w:r>
        <w:rPr>
          <w:vertAlign w:val="superscript"/>
        </w:rPr>
        <w:footnoteRef/>
      </w:r>
      <w:r>
        <w:t xml:space="preserve"> </w:t>
      </w:r>
      <w:r>
        <w:rPr>
          <w:i/>
          <w:iCs/>
        </w:rPr>
        <w:t>Comm. on Gal</w:t>
      </w:r>
      <w:r>
        <w:t xml:space="preserve">. 2:6, p. 54. Cf. </w:t>
      </w:r>
      <w:r>
        <w:rPr>
          <w:i/>
          <w:iCs/>
        </w:rPr>
        <w:t>Comm. on Is</w:t>
      </w:r>
      <w:r>
        <w:t xml:space="preserve">a. 28:19, </w:t>
      </w:r>
      <w:r>
        <w:rPr>
          <w:i/>
          <w:iCs/>
        </w:rPr>
        <w:t>Comm. on Jer</w:t>
      </w:r>
      <w:r>
        <w:t xml:space="preserve">. 1:17, 3:12, 13:27, </w:t>
      </w:r>
      <w:r>
        <w:rPr>
          <w:i/>
          <w:iCs/>
        </w:rPr>
        <w:t>Comm. on 1 Cor</w:t>
      </w:r>
      <w:r>
        <w:t xml:space="preserve">. 7:33, 16:21, </w:t>
      </w:r>
      <w:r>
        <w:rPr>
          <w:i/>
          <w:iCs/>
        </w:rPr>
        <w:t>Comm. on Gal</w:t>
      </w:r>
      <w:r>
        <w:t>. 2:26.</w:t>
      </w:r>
    </w:p>
  </w:footnote>
  <w:footnote w:id="28">
    <w:p w:rsidR="00CF03B2" w:rsidRDefault="00CF03B2" w:rsidP="00F84A76">
      <w:pPr>
        <w:spacing w:after="240"/>
      </w:pPr>
      <w:r>
        <w:t xml:space="preserve">     </w:t>
      </w:r>
      <w:r>
        <w:rPr>
          <w:vertAlign w:val="superscript"/>
        </w:rPr>
        <w:footnoteRef/>
      </w:r>
      <w:r>
        <w:t xml:space="preserve"> </w:t>
      </w:r>
      <w:r>
        <w:rPr>
          <w:i/>
          <w:iCs/>
        </w:rPr>
        <w:t>Comm. on Gal</w:t>
      </w:r>
      <w:r>
        <w:t xml:space="preserve">. 2:11, p. 62. Cf. </w:t>
      </w:r>
      <w:r>
        <w:rPr>
          <w:i/>
          <w:iCs/>
        </w:rPr>
        <w:t>Comm. on Isa</w:t>
      </w:r>
      <w:r>
        <w:t>. 6:4, 6:13, 8:7.</w:t>
      </w:r>
    </w:p>
  </w:footnote>
  <w:footnote w:id="29">
    <w:p w:rsidR="00CF03B2" w:rsidRDefault="00CF03B2" w:rsidP="00F84A76">
      <w:pPr>
        <w:spacing w:after="240"/>
      </w:pPr>
      <w:r>
        <w:t xml:space="preserve">     </w:t>
      </w:r>
      <w:r>
        <w:rPr>
          <w:vertAlign w:val="superscript"/>
        </w:rPr>
        <w:footnoteRef/>
      </w:r>
      <w:r>
        <w:t xml:space="preserve"> </w:t>
      </w:r>
      <w:r>
        <w:rPr>
          <w:i/>
          <w:iCs/>
        </w:rPr>
        <w:t>Comm. on 2 Ti</w:t>
      </w:r>
      <w:r>
        <w:t>. 4:5, p. 258.</w:t>
      </w:r>
    </w:p>
  </w:footnote>
  <w:footnote w:id="30">
    <w:p w:rsidR="00CF03B2" w:rsidRDefault="00CF03B2" w:rsidP="00F84A76">
      <w:pPr>
        <w:spacing w:after="240"/>
      </w:pPr>
      <w:r>
        <w:t xml:space="preserve">     </w:t>
      </w:r>
      <w:r>
        <w:rPr>
          <w:vertAlign w:val="superscript"/>
        </w:rPr>
        <w:footnoteRef/>
      </w:r>
      <w:r>
        <w:t xml:space="preserve"> </w:t>
      </w:r>
      <w:r>
        <w:rPr>
          <w:i/>
          <w:iCs/>
        </w:rPr>
        <w:t>Comm. on La</w:t>
      </w:r>
      <w:r>
        <w:t>. 5:13, pp. 505-6.</w:t>
      </w:r>
    </w:p>
  </w:footnote>
  <w:footnote w:id="31">
    <w:p w:rsidR="00CF03B2" w:rsidRDefault="00CF03B2" w:rsidP="00F84A76">
      <w:pPr>
        <w:spacing w:after="240"/>
      </w:pPr>
      <w:r>
        <w:t xml:space="preserve">     </w:t>
      </w:r>
      <w:r>
        <w:rPr>
          <w:vertAlign w:val="superscript"/>
        </w:rPr>
        <w:footnoteRef/>
      </w:r>
      <w:r>
        <w:t xml:space="preserve"> </w:t>
      </w:r>
      <w:r>
        <w:rPr>
          <w:i/>
          <w:iCs/>
        </w:rPr>
        <w:t>Comm. on Jer</w:t>
      </w:r>
      <w:r>
        <w:t xml:space="preserve">. 2:31. p. 134. Cf. </w:t>
      </w:r>
      <w:r>
        <w:rPr>
          <w:i/>
          <w:iCs/>
        </w:rPr>
        <w:t>Comm. on Jer</w:t>
      </w:r>
      <w:r>
        <w:t xml:space="preserve">. 3: 12, </w:t>
      </w:r>
      <w:r>
        <w:rPr>
          <w:i/>
          <w:iCs/>
        </w:rPr>
        <w:t>Comm. on Mt</w:t>
      </w:r>
      <w:r>
        <w:t xml:space="preserve">. 25:1, </w:t>
      </w:r>
      <w:r>
        <w:rPr>
          <w:i/>
          <w:iCs/>
        </w:rPr>
        <w:t>Comm. on Jn</w:t>
      </w:r>
      <w:r>
        <w:t>. 4:1.</w:t>
      </w:r>
    </w:p>
  </w:footnote>
  <w:footnote w:id="32">
    <w:p w:rsidR="00445036" w:rsidRPr="00445036" w:rsidRDefault="00445036" w:rsidP="00445036">
      <w:pPr>
        <w:pStyle w:val="a7"/>
        <w:rPr>
          <w:sz w:val="18"/>
          <w:szCs w:val="18"/>
        </w:rPr>
      </w:pPr>
      <w:r w:rsidRPr="00445036">
        <w:rPr>
          <w:rStyle w:val="a3"/>
          <w:sz w:val="18"/>
          <w:szCs w:val="18"/>
        </w:rPr>
        <w:footnoteRef/>
      </w:r>
      <w:r w:rsidRPr="00445036">
        <w:rPr>
          <w:sz w:val="18"/>
          <w:szCs w:val="18"/>
        </w:rPr>
        <w:t xml:space="preserve"> </w:t>
      </w:r>
      <w:r w:rsidRPr="00445036">
        <w:rPr>
          <w:b/>
          <w:bCs/>
          <w:sz w:val="18"/>
          <w:szCs w:val="18"/>
        </w:rPr>
        <w:t>Manichaeism</w:t>
      </w:r>
      <w:r w:rsidRPr="00445036">
        <w:rPr>
          <w:sz w:val="18"/>
          <w:szCs w:val="18"/>
        </w:rPr>
        <w:t xml:space="preserve"> (</w:t>
      </w:r>
      <w:hyperlink r:id="rId39" w:tooltip="Help:IPA for English" w:history="1">
        <w:r w:rsidRPr="00445036">
          <w:rPr>
            <w:rStyle w:val="a6"/>
            <w:sz w:val="18"/>
            <w:szCs w:val="18"/>
          </w:rPr>
          <w:t>/</w:t>
        </w:r>
        <w:r w:rsidRPr="00445036">
          <w:rPr>
            <w:rStyle w:val="a6"/>
            <w:rFonts w:ascii="Courier New" w:hAnsi="Courier New" w:cs="Courier New"/>
            <w:sz w:val="18"/>
            <w:szCs w:val="18"/>
          </w:rPr>
          <w:t>ˌ</w:t>
        </w:r>
        <w:r w:rsidRPr="00445036">
          <w:rPr>
            <w:rStyle w:val="a6"/>
            <w:sz w:val="18"/>
            <w:szCs w:val="18"/>
          </w:rPr>
          <w:t>mæn</w:t>
        </w:r>
        <w:r w:rsidRPr="00445036">
          <w:rPr>
            <w:rStyle w:val="a6"/>
            <w:rFonts w:ascii="Courier New" w:hAnsi="Courier New" w:cs="Courier New"/>
            <w:sz w:val="18"/>
            <w:szCs w:val="18"/>
          </w:rPr>
          <w:t>ᵻˈ</w:t>
        </w:r>
        <w:r w:rsidRPr="00445036">
          <w:rPr>
            <w:rStyle w:val="a6"/>
            <w:sz w:val="18"/>
            <w:szCs w:val="18"/>
          </w:rPr>
          <w:t>kiː</w:t>
        </w:r>
        <w:r w:rsidRPr="00445036">
          <w:rPr>
            <w:rStyle w:val="a6"/>
            <w:rFonts w:ascii="Courier New" w:hAnsi="Courier New" w:cs="Courier New"/>
            <w:sz w:val="18"/>
            <w:szCs w:val="18"/>
          </w:rPr>
          <w:t>ɪ</w:t>
        </w:r>
        <w:r w:rsidRPr="00445036">
          <w:rPr>
            <w:rStyle w:val="a6"/>
            <w:sz w:val="18"/>
            <w:szCs w:val="18"/>
          </w:rPr>
          <w:t>z</w:t>
        </w:r>
        <w:r w:rsidRPr="00445036">
          <w:rPr>
            <w:rStyle w:val="a6"/>
            <w:rFonts w:ascii="Courier New" w:hAnsi="Courier New" w:cs="Courier New"/>
            <w:sz w:val="18"/>
            <w:szCs w:val="18"/>
          </w:rPr>
          <w:t>ə</w:t>
        </w:r>
        <w:r w:rsidRPr="00445036">
          <w:rPr>
            <w:rStyle w:val="a6"/>
            <w:sz w:val="18"/>
            <w:szCs w:val="18"/>
          </w:rPr>
          <w:t>m/</w:t>
        </w:r>
      </w:hyperlink>
      <w:r w:rsidRPr="00445036">
        <w:rPr>
          <w:sz w:val="18"/>
          <w:szCs w:val="18"/>
        </w:rPr>
        <w:t>;</w:t>
      </w:r>
      <w:hyperlink r:id="rId40" w:anchor="cite_note-1" w:history="1">
        <w:r w:rsidRPr="00445036">
          <w:rPr>
            <w:color w:val="0000FF"/>
            <w:sz w:val="18"/>
            <w:szCs w:val="18"/>
            <w:u w:val="single"/>
            <w:vertAlign w:val="superscript"/>
          </w:rPr>
          <w:t>[1]</w:t>
        </w:r>
      </w:hyperlink>
      <w:r w:rsidRPr="00445036">
        <w:rPr>
          <w:sz w:val="18"/>
          <w:szCs w:val="18"/>
        </w:rPr>
        <w:t xml:space="preserve"> in </w:t>
      </w:r>
      <w:hyperlink r:id="rId41" w:tooltip="Modern Persian" w:history="1">
        <w:r w:rsidRPr="00445036">
          <w:rPr>
            <w:rStyle w:val="a6"/>
            <w:sz w:val="18"/>
            <w:szCs w:val="18"/>
          </w:rPr>
          <w:t>Modern Persian</w:t>
        </w:r>
      </w:hyperlink>
      <w:r w:rsidRPr="00445036">
        <w:rPr>
          <w:sz w:val="18"/>
          <w:szCs w:val="18"/>
        </w:rPr>
        <w:t xml:space="preserve"> </w:t>
      </w:r>
      <w:r w:rsidRPr="00445036">
        <w:rPr>
          <w:rFonts w:ascii="Courier New" w:hAnsi="Courier New" w:cs="Courier New"/>
          <w:sz w:val="18"/>
          <w:szCs w:val="18"/>
          <w:lang w:bidi="fa-IR"/>
        </w:rPr>
        <w:t>آیین</w:t>
      </w:r>
      <w:r w:rsidRPr="00445036">
        <w:rPr>
          <w:rFonts w:hint="cs"/>
          <w:sz w:val="18"/>
          <w:szCs w:val="18"/>
          <w:lang w:bidi="fa-IR"/>
        </w:rPr>
        <w:t xml:space="preserve"> </w:t>
      </w:r>
      <w:r w:rsidRPr="00445036">
        <w:rPr>
          <w:rFonts w:ascii="Courier New" w:hAnsi="Courier New" w:cs="Courier New"/>
          <w:sz w:val="18"/>
          <w:szCs w:val="18"/>
          <w:lang w:bidi="fa-IR"/>
        </w:rPr>
        <w:t>مانی</w:t>
      </w:r>
      <w:r w:rsidRPr="00445036">
        <w:rPr>
          <w:sz w:val="18"/>
          <w:szCs w:val="18"/>
        </w:rPr>
        <w:t xml:space="preserve"> </w:t>
      </w:r>
      <w:r w:rsidRPr="00445036">
        <w:rPr>
          <w:i/>
          <w:iCs/>
          <w:sz w:val="18"/>
          <w:szCs w:val="18"/>
        </w:rPr>
        <w:t>Āyin e Māni</w:t>
      </w:r>
      <w:r w:rsidRPr="00445036">
        <w:rPr>
          <w:sz w:val="18"/>
          <w:szCs w:val="18"/>
        </w:rPr>
        <w:t xml:space="preserve">; </w:t>
      </w:r>
      <w:hyperlink r:id="rId42" w:tooltip="Chinese language" w:history="1">
        <w:r w:rsidRPr="00445036">
          <w:rPr>
            <w:rStyle w:val="a6"/>
            <w:sz w:val="18"/>
            <w:szCs w:val="18"/>
          </w:rPr>
          <w:t>Chinese</w:t>
        </w:r>
      </w:hyperlink>
      <w:r w:rsidRPr="00445036">
        <w:rPr>
          <w:sz w:val="18"/>
          <w:szCs w:val="18"/>
        </w:rPr>
        <w:t xml:space="preserve">: </w:t>
      </w:r>
      <w:hyperlink r:id="rId43" w:tooltip="wikt:摩" w:history="1">
        <w:r w:rsidRPr="00445036">
          <w:rPr>
            <w:rStyle w:val="a6"/>
            <w:rFonts w:hint="eastAsia"/>
            <w:sz w:val="18"/>
            <w:szCs w:val="18"/>
          </w:rPr>
          <w:t>摩</w:t>
        </w:r>
      </w:hyperlink>
      <w:hyperlink r:id="rId44" w:tooltip="wikt:尼" w:history="1">
        <w:r w:rsidRPr="00445036">
          <w:rPr>
            <w:rStyle w:val="a6"/>
            <w:rFonts w:hint="eastAsia"/>
            <w:sz w:val="18"/>
            <w:szCs w:val="18"/>
          </w:rPr>
          <w:t>尼</w:t>
        </w:r>
      </w:hyperlink>
      <w:hyperlink r:id="rId45" w:tooltip="wikt:教" w:history="1">
        <w:r w:rsidRPr="00445036">
          <w:rPr>
            <w:rStyle w:val="a6"/>
            <w:rFonts w:ascii="새굴림" w:eastAsia="새굴림" w:hAnsi="새굴림" w:cs="새굴림" w:hint="eastAsia"/>
            <w:sz w:val="18"/>
            <w:szCs w:val="18"/>
          </w:rPr>
          <w:t>教</w:t>
        </w:r>
      </w:hyperlink>
      <w:r w:rsidRPr="00445036">
        <w:rPr>
          <w:sz w:val="18"/>
          <w:szCs w:val="18"/>
        </w:rPr>
        <w:t xml:space="preserve">; </w:t>
      </w:r>
      <w:hyperlink r:id="rId46" w:tooltip="Pinyin" w:history="1">
        <w:r w:rsidRPr="00445036">
          <w:rPr>
            <w:rStyle w:val="a6"/>
            <w:sz w:val="18"/>
            <w:szCs w:val="18"/>
          </w:rPr>
          <w:t>pinyin</w:t>
        </w:r>
      </w:hyperlink>
      <w:r w:rsidRPr="00445036">
        <w:rPr>
          <w:sz w:val="18"/>
          <w:szCs w:val="18"/>
        </w:rPr>
        <w:t xml:space="preserve">: </w:t>
      </w:r>
      <w:hyperlink r:id="rId47" w:tooltip="wikt:Mó" w:history="1">
        <w:r w:rsidRPr="00445036">
          <w:rPr>
            <w:rStyle w:val="a6"/>
            <w:i/>
            <w:iCs/>
            <w:sz w:val="18"/>
            <w:szCs w:val="18"/>
          </w:rPr>
          <w:t>Mó</w:t>
        </w:r>
      </w:hyperlink>
      <w:hyperlink r:id="rId48" w:tooltip="wikt:ní" w:history="1">
        <w:r w:rsidRPr="00445036">
          <w:rPr>
            <w:rStyle w:val="a6"/>
            <w:i/>
            <w:iCs/>
            <w:sz w:val="18"/>
            <w:szCs w:val="18"/>
          </w:rPr>
          <w:t>ní</w:t>
        </w:r>
      </w:hyperlink>
      <w:r w:rsidRPr="00445036">
        <w:rPr>
          <w:i/>
          <w:iCs/>
          <w:sz w:val="18"/>
          <w:szCs w:val="18"/>
        </w:rPr>
        <w:t xml:space="preserve"> </w:t>
      </w:r>
      <w:hyperlink r:id="rId49" w:tooltip="wikt:Jiào" w:history="1">
        <w:r w:rsidRPr="00445036">
          <w:rPr>
            <w:rStyle w:val="a6"/>
            <w:i/>
            <w:iCs/>
            <w:sz w:val="18"/>
            <w:szCs w:val="18"/>
          </w:rPr>
          <w:t>Jiào</w:t>
        </w:r>
      </w:hyperlink>
      <w:r w:rsidRPr="00445036">
        <w:rPr>
          <w:sz w:val="18"/>
          <w:szCs w:val="18"/>
        </w:rPr>
        <w:t xml:space="preserve">) was a major </w:t>
      </w:r>
      <w:hyperlink r:id="rId50" w:tooltip="Religion" w:history="1">
        <w:r w:rsidRPr="00445036">
          <w:rPr>
            <w:rStyle w:val="a6"/>
            <w:sz w:val="18"/>
            <w:szCs w:val="18"/>
          </w:rPr>
          <w:t>religion</w:t>
        </w:r>
      </w:hyperlink>
      <w:r w:rsidRPr="00445036">
        <w:rPr>
          <w:sz w:val="18"/>
          <w:szCs w:val="18"/>
        </w:rPr>
        <w:t xml:space="preserve"> that was founded by the </w:t>
      </w:r>
      <w:hyperlink r:id="rId51" w:tooltip="Iranian peoples" w:history="1">
        <w:r w:rsidRPr="00445036">
          <w:rPr>
            <w:rStyle w:val="a6"/>
            <w:sz w:val="18"/>
            <w:szCs w:val="18"/>
          </w:rPr>
          <w:t>Iranian</w:t>
        </w:r>
      </w:hyperlink>
      <w:hyperlink r:id="rId52" w:anchor="cite_note-2" w:history="1">
        <w:r w:rsidRPr="00445036">
          <w:rPr>
            <w:color w:val="0000FF"/>
            <w:sz w:val="18"/>
            <w:szCs w:val="18"/>
            <w:u w:val="single"/>
            <w:vertAlign w:val="superscript"/>
          </w:rPr>
          <w:t>[2]</w:t>
        </w:r>
      </w:hyperlink>
      <w:r w:rsidRPr="00445036">
        <w:rPr>
          <w:sz w:val="18"/>
          <w:szCs w:val="18"/>
        </w:rPr>
        <w:t xml:space="preserve"> </w:t>
      </w:r>
      <w:hyperlink r:id="rId53" w:tooltip="Prophet" w:history="1">
        <w:r w:rsidRPr="00445036">
          <w:rPr>
            <w:rStyle w:val="a6"/>
            <w:sz w:val="18"/>
            <w:szCs w:val="18"/>
          </w:rPr>
          <w:t>prophet</w:t>
        </w:r>
      </w:hyperlink>
      <w:r w:rsidRPr="00445036">
        <w:rPr>
          <w:sz w:val="18"/>
          <w:szCs w:val="18"/>
        </w:rPr>
        <w:t xml:space="preserve"> </w:t>
      </w:r>
      <w:hyperlink r:id="rId54" w:tooltip="Mani (prophet)" w:history="1">
        <w:r w:rsidRPr="00445036">
          <w:rPr>
            <w:rStyle w:val="a6"/>
            <w:sz w:val="18"/>
            <w:szCs w:val="18"/>
          </w:rPr>
          <w:t>Mani</w:t>
        </w:r>
      </w:hyperlink>
      <w:r w:rsidRPr="00445036">
        <w:rPr>
          <w:sz w:val="18"/>
          <w:szCs w:val="18"/>
        </w:rPr>
        <w:t xml:space="preserve"> (in </w:t>
      </w:r>
      <w:hyperlink r:id="rId55" w:tooltip="Persian language" w:history="1">
        <w:r w:rsidRPr="00445036">
          <w:rPr>
            <w:rStyle w:val="a6"/>
            <w:sz w:val="18"/>
            <w:szCs w:val="18"/>
          </w:rPr>
          <w:t>Persian</w:t>
        </w:r>
      </w:hyperlink>
      <w:r w:rsidRPr="00445036">
        <w:rPr>
          <w:sz w:val="18"/>
          <w:szCs w:val="18"/>
        </w:rPr>
        <w:t xml:space="preserve">: </w:t>
      </w:r>
      <w:r w:rsidRPr="00445036">
        <w:rPr>
          <w:rFonts w:ascii="Courier New" w:hAnsi="Courier New" w:cs="Courier New"/>
          <w:sz w:val="18"/>
          <w:szCs w:val="18"/>
        </w:rPr>
        <w:t>مانی</w:t>
      </w:r>
      <w:r w:rsidRPr="00445036">
        <w:rPr>
          <w:sz w:val="18"/>
          <w:szCs w:val="18"/>
        </w:rPr>
        <w:t xml:space="preserve">, </w:t>
      </w:r>
      <w:hyperlink r:id="rId56" w:tooltip="Syriac language" w:history="1">
        <w:r w:rsidRPr="00445036">
          <w:rPr>
            <w:rStyle w:val="a6"/>
            <w:sz w:val="18"/>
            <w:szCs w:val="18"/>
          </w:rPr>
          <w:t>Syriac</w:t>
        </w:r>
      </w:hyperlink>
      <w:r w:rsidRPr="00445036">
        <w:rPr>
          <w:sz w:val="18"/>
          <w:szCs w:val="18"/>
        </w:rPr>
        <w:t xml:space="preserve">: </w:t>
      </w:r>
      <w:r w:rsidRPr="00445036">
        <w:rPr>
          <w:rFonts w:ascii="Estrangelo Edessa" w:hAnsi="Estrangelo Edessa" w:cs="Estrangelo Edessa"/>
          <w:sz w:val="18"/>
          <w:szCs w:val="18"/>
          <w:lang w:bidi="syr-SY"/>
        </w:rPr>
        <w:t>ܡܐܢܝ</w:t>
      </w:r>
      <w:r w:rsidRPr="00445036">
        <w:rPr>
          <w:sz w:val="18"/>
          <w:szCs w:val="18"/>
        </w:rPr>
        <w:t xml:space="preserve"> , </w:t>
      </w:r>
      <w:hyperlink r:id="rId57" w:tooltip="Latin" w:history="1">
        <w:r w:rsidRPr="00445036">
          <w:rPr>
            <w:rStyle w:val="a6"/>
            <w:sz w:val="18"/>
            <w:szCs w:val="18"/>
          </w:rPr>
          <w:t>Latin</w:t>
        </w:r>
      </w:hyperlink>
      <w:r w:rsidRPr="00445036">
        <w:rPr>
          <w:sz w:val="18"/>
          <w:szCs w:val="18"/>
        </w:rPr>
        <w:t xml:space="preserve">: Manichaeus or Manes; c. 216–276 AD) in the </w:t>
      </w:r>
      <w:hyperlink r:id="rId58" w:tooltip="Sasanian Empire" w:history="1">
        <w:r w:rsidRPr="00445036">
          <w:rPr>
            <w:rStyle w:val="a6"/>
            <w:sz w:val="18"/>
            <w:szCs w:val="18"/>
          </w:rPr>
          <w:t>Sasanian Empire</w:t>
        </w:r>
      </w:hyperlink>
      <w:r w:rsidRPr="00445036">
        <w:rPr>
          <w:sz w:val="18"/>
          <w:szCs w:val="18"/>
        </w:rPr>
        <w:t>.</w:t>
      </w:r>
      <w:hyperlink r:id="rId59" w:anchor="cite_note-3" w:history="1">
        <w:r w:rsidRPr="00445036">
          <w:rPr>
            <w:color w:val="0000FF"/>
            <w:sz w:val="18"/>
            <w:szCs w:val="18"/>
            <w:u w:val="single"/>
            <w:vertAlign w:val="superscript"/>
          </w:rPr>
          <w:t>[3]</w:t>
        </w:r>
      </w:hyperlink>
      <w:hyperlink r:id="rId60" w:anchor="cite_note-4" w:history="1">
        <w:r w:rsidRPr="00445036">
          <w:rPr>
            <w:color w:val="0000FF"/>
            <w:sz w:val="18"/>
            <w:szCs w:val="18"/>
            <w:u w:val="single"/>
            <w:vertAlign w:val="superscript"/>
          </w:rPr>
          <w:t>[4]</w:t>
        </w:r>
      </w:hyperlink>
      <w:r w:rsidRPr="00445036">
        <w:rPr>
          <w:sz w:val="18"/>
          <w:szCs w:val="18"/>
        </w:rPr>
        <w:t xml:space="preserve">Manichaeism taught an elaborate </w:t>
      </w:r>
      <w:hyperlink r:id="rId61" w:tooltip="Dualistic cosmology" w:history="1">
        <w:r w:rsidRPr="00445036">
          <w:rPr>
            <w:rStyle w:val="a6"/>
            <w:sz w:val="18"/>
            <w:szCs w:val="18"/>
          </w:rPr>
          <w:t>dualistic cosmology</w:t>
        </w:r>
      </w:hyperlink>
      <w:r w:rsidRPr="00445036">
        <w:rPr>
          <w:sz w:val="18"/>
          <w:szCs w:val="18"/>
        </w:rPr>
        <w:t xml:space="preserve"> describing </w:t>
      </w:r>
      <w:r w:rsidRPr="00445036">
        <w:rPr>
          <w:rFonts w:ascii="Times New Roman" w:hAnsi="Times New Roman" w:cs="Times New Roman"/>
          <w:color w:val="FF0000"/>
          <w:sz w:val="18"/>
          <w:szCs w:val="18"/>
        </w:rPr>
        <w:t xml:space="preserve">the </w:t>
      </w:r>
      <w:hyperlink r:id="rId62" w:tooltip="Conflict between good and evil" w:history="1">
        <w:r w:rsidRPr="00445036">
          <w:rPr>
            <w:rStyle w:val="a6"/>
            <w:rFonts w:ascii="Times New Roman" w:hAnsi="Times New Roman" w:cs="Times New Roman"/>
            <w:color w:val="FF0000"/>
            <w:sz w:val="18"/>
            <w:szCs w:val="18"/>
          </w:rPr>
          <w:t>struggle</w:t>
        </w:r>
      </w:hyperlink>
      <w:r w:rsidRPr="00445036">
        <w:rPr>
          <w:rFonts w:ascii="Times New Roman" w:hAnsi="Times New Roman" w:cs="Times New Roman"/>
          <w:color w:val="FF0000"/>
          <w:sz w:val="18"/>
          <w:szCs w:val="18"/>
        </w:rPr>
        <w:t xml:space="preserve"> between a </w:t>
      </w:r>
      <w:hyperlink r:id="rId63" w:tooltip="Goodness and value theory" w:history="1">
        <w:r w:rsidRPr="00445036">
          <w:rPr>
            <w:rStyle w:val="a6"/>
            <w:rFonts w:ascii="Times New Roman" w:hAnsi="Times New Roman" w:cs="Times New Roman"/>
            <w:color w:val="FF0000"/>
            <w:sz w:val="18"/>
            <w:szCs w:val="18"/>
          </w:rPr>
          <w:t>good</w:t>
        </w:r>
      </w:hyperlink>
      <w:r w:rsidRPr="00445036">
        <w:rPr>
          <w:rFonts w:ascii="Times New Roman" w:hAnsi="Times New Roman" w:cs="Times New Roman"/>
          <w:color w:val="FF0000"/>
          <w:sz w:val="18"/>
          <w:szCs w:val="18"/>
        </w:rPr>
        <w:t xml:space="preserve">, spiritual world of light, and an </w:t>
      </w:r>
      <w:hyperlink r:id="rId64" w:tooltip="Evil" w:history="1">
        <w:r w:rsidRPr="00445036">
          <w:rPr>
            <w:rStyle w:val="a6"/>
            <w:rFonts w:ascii="Times New Roman" w:hAnsi="Times New Roman" w:cs="Times New Roman"/>
            <w:color w:val="FF0000"/>
            <w:sz w:val="18"/>
            <w:szCs w:val="18"/>
          </w:rPr>
          <w:t>evil</w:t>
        </w:r>
      </w:hyperlink>
      <w:r w:rsidRPr="00445036">
        <w:rPr>
          <w:rFonts w:ascii="Times New Roman" w:hAnsi="Times New Roman" w:cs="Times New Roman"/>
          <w:color w:val="FF0000"/>
          <w:sz w:val="18"/>
          <w:szCs w:val="18"/>
        </w:rPr>
        <w:t xml:space="preserve">, </w:t>
      </w:r>
      <w:r w:rsidRPr="00445036">
        <w:rPr>
          <w:color w:val="FF0000"/>
          <w:sz w:val="18"/>
          <w:szCs w:val="18"/>
        </w:rPr>
        <w:t>material world of darkness.</w:t>
      </w:r>
      <w:r w:rsidRPr="00445036">
        <w:rPr>
          <w:sz w:val="18"/>
          <w:szCs w:val="18"/>
        </w:rPr>
        <w:t xml:space="preserve"> Through an ongoing process which takes place in human history, light is gradually removed from the world of matter and returned to the world of light whence it came. Its beliefs were based on local </w:t>
      </w:r>
      <w:hyperlink r:id="rId65" w:tooltip="Mesopotamian" w:history="1">
        <w:r w:rsidRPr="00445036">
          <w:rPr>
            <w:rStyle w:val="a6"/>
            <w:sz w:val="18"/>
            <w:szCs w:val="18"/>
          </w:rPr>
          <w:t>Mesopotamian</w:t>
        </w:r>
      </w:hyperlink>
      <w:r w:rsidRPr="00445036">
        <w:rPr>
          <w:sz w:val="18"/>
          <w:szCs w:val="18"/>
        </w:rPr>
        <w:t xml:space="preserve"> </w:t>
      </w:r>
      <w:hyperlink r:id="rId66" w:tooltip="Gnostic" w:history="1">
        <w:r w:rsidRPr="00445036">
          <w:rPr>
            <w:rStyle w:val="a6"/>
            <w:sz w:val="18"/>
            <w:szCs w:val="18"/>
          </w:rPr>
          <w:t>gnostic</w:t>
        </w:r>
      </w:hyperlink>
      <w:r w:rsidRPr="00445036">
        <w:rPr>
          <w:sz w:val="18"/>
          <w:szCs w:val="18"/>
        </w:rPr>
        <w:t xml:space="preserve"> and religious movements.</w:t>
      </w:r>
      <w:hyperlink r:id="rId67" w:anchor="cite_note-5" w:history="1">
        <w:r w:rsidRPr="00445036">
          <w:rPr>
            <w:color w:val="0000FF"/>
            <w:sz w:val="18"/>
            <w:szCs w:val="18"/>
            <w:u w:val="single"/>
            <w:vertAlign w:val="superscript"/>
          </w:rPr>
          <w:t>[5]</w:t>
        </w:r>
      </w:hyperlink>
    </w:p>
    <w:p w:rsidR="00445036" w:rsidRPr="00445036" w:rsidRDefault="00445036">
      <w:pPr>
        <w:pStyle w:val="a8"/>
      </w:pPr>
    </w:p>
  </w:footnote>
  <w:footnote w:id="33">
    <w:p w:rsidR="00CF03B2" w:rsidRDefault="00CF03B2" w:rsidP="00F84A76">
      <w:pPr>
        <w:spacing w:after="240"/>
      </w:pPr>
      <w:r>
        <w:t xml:space="preserve">     </w:t>
      </w:r>
      <w:r>
        <w:rPr>
          <w:vertAlign w:val="superscript"/>
        </w:rPr>
        <w:footnoteRef/>
      </w:r>
      <w:r>
        <w:t xml:space="preserve"> For the studies of Augustine's hermeneutics, see J. R. Smith, "Augustine as an Exegete," </w:t>
      </w:r>
      <w:r>
        <w:rPr>
          <w:i/>
          <w:iCs/>
        </w:rPr>
        <w:t>Bibliotheca Sacra</w:t>
      </w:r>
      <w:r>
        <w:t xml:space="preserve"> 61 (1904): 318-44; </w:t>
      </w:r>
    </w:p>
  </w:footnote>
  <w:footnote w:id="34">
    <w:p w:rsidR="00CF03B2" w:rsidRDefault="00CF03B2" w:rsidP="00F84A76">
      <w:pPr>
        <w:spacing w:after="240"/>
      </w:pPr>
      <w:r>
        <w:t xml:space="preserve">     </w:t>
      </w:r>
      <w:r>
        <w:rPr>
          <w:vertAlign w:val="superscript"/>
        </w:rPr>
        <w:footnoteRef/>
      </w:r>
      <w:r>
        <w:t xml:space="preserve"> Joseph W. Trigg, </w:t>
      </w:r>
      <w:r>
        <w:rPr>
          <w:i/>
          <w:iCs/>
        </w:rPr>
        <w:t>Biblical Interpretation</w:t>
      </w:r>
      <w:r>
        <w:t xml:space="preserve"> (Wilmington: Michael Glazier, 1988), p. 43.</w:t>
      </w:r>
    </w:p>
  </w:footnote>
  <w:footnote w:id="35">
    <w:p w:rsidR="00CF03B2" w:rsidRDefault="00CF03B2" w:rsidP="00F84A76">
      <w:pPr>
        <w:spacing w:after="240"/>
      </w:pPr>
      <w:r>
        <w:t xml:space="preserve">     </w:t>
      </w:r>
      <w:r>
        <w:rPr>
          <w:vertAlign w:val="superscript"/>
        </w:rPr>
        <w:footnoteRef/>
      </w:r>
      <w:r>
        <w:t xml:space="preserve"> Augustine, </w:t>
      </w:r>
      <w:r>
        <w:rPr>
          <w:i/>
          <w:iCs/>
        </w:rPr>
        <w:t>On Christian Doctrine</w:t>
      </w:r>
      <w:r>
        <w:t>, 3.12.18, trans. D. W. Robertson, Jr. (Indianapolis: Bobbs-Merrill, 1959), p. 90.</w:t>
      </w:r>
    </w:p>
  </w:footnote>
  <w:footnote w:id="36">
    <w:p w:rsidR="00CF03B2" w:rsidRDefault="00CF03B2" w:rsidP="00F84A76">
      <w:pPr>
        <w:spacing w:after="240"/>
      </w:pPr>
    </w:p>
  </w:footnote>
  <w:footnote w:id="37">
    <w:p w:rsidR="00CF03B2" w:rsidRDefault="00CF03B2" w:rsidP="00F84A76">
      <w:pPr>
        <w:spacing w:after="240"/>
      </w:pPr>
      <w:r>
        <w:t xml:space="preserve">     </w:t>
      </w:r>
      <w:r>
        <w:rPr>
          <w:vertAlign w:val="superscript"/>
        </w:rPr>
        <w:footnoteRef/>
      </w:r>
      <w:r>
        <w:t xml:space="preserve"> In his commentaries Calvin directly mentioned Augustine around 100 times.</w:t>
      </w:r>
    </w:p>
  </w:footnote>
  <w:footnote w:id="38">
    <w:p w:rsidR="00CF03B2" w:rsidRDefault="00CF03B2" w:rsidP="00F84A76">
      <w:pPr>
        <w:spacing w:after="240"/>
      </w:pPr>
      <w:r>
        <w:t xml:space="preserve">     </w:t>
      </w:r>
      <w:r>
        <w:rPr>
          <w:vertAlign w:val="superscript"/>
        </w:rPr>
        <w:footnoteRef/>
      </w:r>
      <w:r>
        <w:t xml:space="preserve"> "To Farel, September 1, 1549," in </w:t>
      </w:r>
      <w:r>
        <w:rPr>
          <w:i/>
          <w:iCs/>
        </w:rPr>
        <w:t>Selected Works of John Calvin: Tracts and Letters</w:t>
      </w:r>
      <w:r>
        <w:t xml:space="preserve">, vol. 2, p. 247. </w:t>
      </w:r>
    </w:p>
  </w:footnote>
  <w:footnote w:id="39">
    <w:p w:rsidR="00CF03B2" w:rsidRDefault="00CF03B2" w:rsidP="00F84A76">
      <w:pPr>
        <w:spacing w:after="240"/>
      </w:pPr>
      <w:r>
        <w:t xml:space="preserve">     </w:t>
      </w:r>
      <w:r>
        <w:rPr>
          <w:vertAlign w:val="superscript"/>
        </w:rPr>
        <w:footnoteRef/>
      </w:r>
      <w:r>
        <w:t xml:space="preserve"> </w:t>
      </w:r>
      <w:r>
        <w:rPr>
          <w:i/>
          <w:iCs/>
        </w:rPr>
        <w:t>Comm. on Rom</w:t>
      </w:r>
      <w:r>
        <w:t>, 5:7, pp. 193-4.</w:t>
      </w:r>
    </w:p>
  </w:footnote>
  <w:footnote w:id="40">
    <w:p w:rsidR="00CF03B2" w:rsidRDefault="00CF03B2" w:rsidP="00F84A76">
      <w:pPr>
        <w:spacing w:after="240"/>
      </w:pPr>
      <w:r>
        <w:t xml:space="preserve">     </w:t>
      </w:r>
      <w:r>
        <w:rPr>
          <w:vertAlign w:val="superscript"/>
        </w:rPr>
        <w:footnoteRef/>
      </w:r>
      <w:r>
        <w:t xml:space="preserve"> </w:t>
      </w:r>
      <w:r>
        <w:rPr>
          <w:i/>
          <w:iCs/>
        </w:rPr>
        <w:t>Comm. on Gal</w:t>
      </w:r>
      <w:r>
        <w:t>. 3:1, p. 79.</w:t>
      </w:r>
    </w:p>
  </w:footnote>
  <w:footnote w:id="41">
    <w:p w:rsidR="00CF03B2" w:rsidRDefault="00CF03B2" w:rsidP="00F84A76">
      <w:pPr>
        <w:spacing w:after="240"/>
      </w:pPr>
      <w:r>
        <w:t xml:space="preserve">     </w:t>
      </w:r>
      <w:r>
        <w:rPr>
          <w:vertAlign w:val="superscript"/>
        </w:rPr>
        <w:footnoteRef/>
      </w:r>
      <w:r>
        <w:t xml:space="preserve"> </w:t>
      </w:r>
      <w:r>
        <w:rPr>
          <w:i/>
          <w:iCs/>
        </w:rPr>
        <w:t>Comm. on Rom</w:t>
      </w:r>
      <w:r>
        <w:t>. 8:28, p. 315.</w:t>
      </w:r>
    </w:p>
  </w:footnote>
  <w:footnote w:id="42">
    <w:p w:rsidR="00CF03B2" w:rsidRDefault="00CF03B2" w:rsidP="00F84A76">
      <w:pPr>
        <w:spacing w:after="240"/>
      </w:pPr>
      <w:r>
        <w:t xml:space="preserve">     </w:t>
      </w:r>
      <w:r>
        <w:rPr>
          <w:vertAlign w:val="superscript"/>
        </w:rPr>
        <w:footnoteRef/>
      </w:r>
      <w:r>
        <w:t xml:space="preserve"> </w:t>
      </w:r>
      <w:r>
        <w:rPr>
          <w:i/>
          <w:iCs/>
        </w:rPr>
        <w:t>Comm. on Gen</w:t>
      </w:r>
      <w:r>
        <w:t>. 22:12, p. 570.</w:t>
      </w:r>
    </w:p>
  </w:footnote>
  <w:footnote w:id="43">
    <w:p w:rsidR="00CF03B2" w:rsidRDefault="00CF03B2" w:rsidP="00F84A76">
      <w:pPr>
        <w:spacing w:after="240"/>
      </w:pPr>
      <w:r>
        <w:t xml:space="preserve">     </w:t>
      </w:r>
      <w:r>
        <w:rPr>
          <w:vertAlign w:val="superscript"/>
        </w:rPr>
        <w:footnoteRef/>
      </w:r>
      <w:r>
        <w:t xml:space="preserve"> </w:t>
      </w:r>
      <w:r>
        <w:rPr>
          <w:i/>
          <w:iCs/>
        </w:rPr>
        <w:t>Comm. on Jn</w:t>
      </w:r>
      <w:r>
        <w:t>. 12:32, p. 37.</w:t>
      </w:r>
    </w:p>
  </w:footnote>
  <w:footnote w:id="44">
    <w:p w:rsidR="00CF03B2" w:rsidRDefault="00CF03B2" w:rsidP="00F84A76">
      <w:pPr>
        <w:spacing w:after="240"/>
      </w:pPr>
      <w:r>
        <w:t xml:space="preserve">     </w:t>
      </w:r>
      <w:r>
        <w:rPr>
          <w:vertAlign w:val="superscript"/>
        </w:rPr>
        <w:footnoteRef/>
      </w:r>
      <w:r>
        <w:t xml:space="preserve"> For the studies of Middle Ages' hermeneutics, see Walter J. Burghardt, "On Early Christian Exegesis," </w:t>
      </w:r>
      <w:r>
        <w:rPr>
          <w:i/>
          <w:iCs/>
        </w:rPr>
        <w:t>Theological Studies</w:t>
      </w:r>
      <w:r>
        <w:t xml:space="preserve">  11 (1950): 78-116; Robert E. McNally, </w:t>
      </w:r>
      <w:r>
        <w:rPr>
          <w:i/>
          <w:iCs/>
        </w:rPr>
        <w:t>The Bible in the Early Middle Ages</w:t>
      </w:r>
      <w:r>
        <w:t xml:space="preserve"> (Westminster: Newman Press, 1986), p. 29, and "Medieval Exegesis," </w:t>
      </w:r>
      <w:r>
        <w:rPr>
          <w:i/>
          <w:iCs/>
        </w:rPr>
        <w:t>Theological Studies</w:t>
      </w:r>
      <w:r>
        <w:t xml:space="preserve"> 22 (1961): 445-454: Henri de Lubac, </w:t>
      </w:r>
      <w:r>
        <w:rPr>
          <w:i/>
          <w:iCs/>
        </w:rPr>
        <w:t>Exégèse Médièvale: Les quatre sens de l'ecriture</w:t>
      </w:r>
      <w:r>
        <w:t xml:space="preserve">, 4 vols. (Paris: Aubier, 1959); Ceslaus Spicq, </w:t>
      </w:r>
      <w:r>
        <w:rPr>
          <w:i/>
          <w:iCs/>
        </w:rPr>
        <w:t>Esquisse d'une histoire de l'exégèse Latine au Moyen Age</w:t>
      </w:r>
      <w:r>
        <w:t xml:space="preserve"> (Paris: Z.J. Vrin, 1944); Katherine Walsh and Diana Wood, </w:t>
      </w:r>
      <w:r>
        <w:rPr>
          <w:i/>
          <w:iCs/>
        </w:rPr>
        <w:t>The Bible in the Medieval World: Essays in Memory of Beryl Smalley</w:t>
      </w:r>
      <w:r>
        <w:t xml:space="preserve"> (Oxford: Basil Backwell, 1985); Joseph A. Fitzmyer, "Medieval Exegesis," </w:t>
      </w:r>
      <w:r>
        <w:rPr>
          <w:i/>
          <w:iCs/>
        </w:rPr>
        <w:t>Theological Studies</w:t>
      </w:r>
      <w:r>
        <w:t xml:space="preserve"> 22 (1961): 435-441; James M. Vosté, "Medieval Exegesis," </w:t>
      </w:r>
      <w:r>
        <w:rPr>
          <w:i/>
          <w:iCs/>
        </w:rPr>
        <w:t>Catholic Biblical Quarterly</w:t>
      </w:r>
      <w:r>
        <w:t xml:space="preserve"> 10 (1948): 229-246.</w:t>
      </w:r>
    </w:p>
  </w:footnote>
  <w:footnote w:id="45">
    <w:p w:rsidR="00CF03B2" w:rsidRDefault="00CF03B2" w:rsidP="00F84A76">
      <w:pPr>
        <w:spacing w:after="240"/>
      </w:pPr>
      <w:r>
        <w:t xml:space="preserve">     </w:t>
      </w:r>
      <w:r>
        <w:rPr>
          <w:vertAlign w:val="superscript"/>
        </w:rPr>
        <w:footnoteRef/>
      </w:r>
      <w:r>
        <w:t xml:space="preserve"> Wilhem Pauck, ed., </w:t>
      </w:r>
      <w:r>
        <w:rPr>
          <w:i/>
          <w:iCs/>
        </w:rPr>
        <w:t>Luther: Lectures on Romans</w:t>
      </w:r>
      <w:r>
        <w:t xml:space="preserve"> (Philadelphia: Westminster Press, 1961), p. xxv.</w:t>
      </w:r>
    </w:p>
  </w:footnote>
  <w:footnote w:id="46">
    <w:p w:rsidR="00CF03B2" w:rsidRDefault="00CF03B2" w:rsidP="00F84A76">
      <w:pPr>
        <w:spacing w:after="240"/>
      </w:pPr>
      <w:r>
        <w:t xml:space="preserve">     </w:t>
      </w:r>
      <w:r>
        <w:rPr>
          <w:vertAlign w:val="superscript"/>
        </w:rPr>
        <w:footnoteRef/>
      </w:r>
      <w:r>
        <w:t xml:space="preserve"> Ibid.</w:t>
      </w:r>
    </w:p>
  </w:footnote>
  <w:footnote w:id="47">
    <w:p w:rsidR="00CF03B2" w:rsidRDefault="00CF03B2" w:rsidP="00F84A76">
      <w:r>
        <w:t xml:space="preserve">     </w:t>
      </w:r>
      <w:r>
        <w:rPr>
          <w:vertAlign w:val="superscript"/>
        </w:rPr>
        <w:footnoteRef/>
      </w:r>
      <w:r>
        <w:t xml:space="preserve">  For example, Jerusalem may be interpreted to have the fourfold sense as follow:</w:t>
      </w:r>
    </w:p>
    <w:p w:rsidR="00CF03B2" w:rsidRDefault="00CF03B2" w:rsidP="00F84A76">
      <w:pPr>
        <w:ind w:firstLine="720"/>
      </w:pPr>
      <w:r>
        <w:t xml:space="preserve">"Literal: the </w:t>
      </w:r>
      <w:r>
        <w:rPr>
          <w:i/>
          <w:iCs/>
        </w:rPr>
        <w:t>physical city</w:t>
      </w:r>
      <w:r>
        <w:t xml:space="preserve"> of Jerusalem</w:t>
      </w:r>
    </w:p>
    <w:p w:rsidR="00CF03B2" w:rsidRDefault="00CF03B2" w:rsidP="00F84A76">
      <w:pPr>
        <w:ind w:firstLine="720"/>
        <w:rPr>
          <w:i/>
          <w:iCs/>
        </w:rPr>
      </w:pPr>
      <w:r>
        <w:t xml:space="preserve">Allegorical: the </w:t>
      </w:r>
      <w:r>
        <w:rPr>
          <w:i/>
          <w:iCs/>
        </w:rPr>
        <w:t>church</w:t>
      </w:r>
    </w:p>
    <w:p w:rsidR="00CF03B2" w:rsidRDefault="00CF03B2" w:rsidP="00F84A76">
      <w:pPr>
        <w:ind w:firstLine="720"/>
      </w:pPr>
      <w:r>
        <w:t xml:space="preserve">Tropological: the human </w:t>
      </w:r>
      <w:r>
        <w:rPr>
          <w:i/>
          <w:iCs/>
        </w:rPr>
        <w:t>soul</w:t>
      </w:r>
    </w:p>
    <w:p w:rsidR="00CF03B2" w:rsidRDefault="00CF03B2" w:rsidP="00F84A76">
      <w:pPr>
        <w:spacing w:after="240"/>
        <w:ind w:firstLine="720"/>
      </w:pPr>
      <w:r>
        <w:t>Anagogical: the heavenly Jerusalem/</w:t>
      </w:r>
      <w:r>
        <w:rPr>
          <w:i/>
          <w:iCs/>
        </w:rPr>
        <w:t>life hereafter</w:t>
      </w:r>
      <w:r>
        <w:t xml:space="preserve">." See F. E. Deist and J. J. Burden, </w:t>
      </w:r>
      <w:r>
        <w:rPr>
          <w:i/>
          <w:iCs/>
        </w:rPr>
        <w:t>An ABC of Biblical Exegesis</w:t>
      </w:r>
      <w:r>
        <w:t xml:space="preserve"> (Pretoria: J.L. van Schaik, 1983), p. 79.</w:t>
      </w:r>
    </w:p>
  </w:footnote>
  <w:footnote w:id="48">
    <w:p w:rsidR="00CF03B2" w:rsidRDefault="00CF03B2" w:rsidP="00F84A76">
      <w:pPr>
        <w:spacing w:after="240"/>
      </w:pPr>
      <w:r>
        <w:t xml:space="preserve">     </w:t>
      </w:r>
      <w:r>
        <w:rPr>
          <w:vertAlign w:val="superscript"/>
        </w:rPr>
        <w:footnoteRef/>
      </w:r>
      <w:r>
        <w:t xml:space="preserve"> For the studies on Thomas Aquinas' interpretation, see M. Dubois, "Mystical and Realistic Elements in the exegesis and Hermeneutics of Thomas Aquinas," </w:t>
      </w:r>
      <w:r>
        <w:rPr>
          <w:i/>
          <w:iCs/>
        </w:rPr>
        <w:t>Creative Biblical Exegesis: Christian and Jewish Hermeneutics through the Centuries</w:t>
      </w:r>
      <w:r>
        <w:t xml:space="preserve">, eds. Benjamin Uffenheimer and Henning Graf Reventlow (Sheffield: Sheffield Academic Press, 1988), pp. 39-54; Hugh Pope, "St. Thomas as an Interpreter of Holy Scripture," in </w:t>
      </w:r>
      <w:r>
        <w:rPr>
          <w:i/>
          <w:iCs/>
        </w:rPr>
        <w:t>St. Thomas Aquinas</w:t>
      </w:r>
      <w:r>
        <w:t xml:space="preserve">, ed. Aelred Whitacre (Oxford: Basil Blackwell, 1925), pp. 111-44; Maximino Arias Reyero, </w:t>
      </w:r>
      <w:r>
        <w:rPr>
          <w:i/>
          <w:iCs/>
        </w:rPr>
        <w:t>Thomas von Aquin als Exeget: Die Prinzipien Seiner Schriftdeutung und Seine Lehre von schriftsinnen</w:t>
      </w:r>
      <w:r>
        <w:t xml:space="preserve"> (Einsiedein: Johanes Verlag, 1971): Per Erik Person, </w:t>
      </w:r>
      <w:r>
        <w:rPr>
          <w:i/>
          <w:iCs/>
        </w:rPr>
        <w:t>Sacra Doctrina: Reason and Revelation in Aquinas</w:t>
      </w:r>
      <w:r>
        <w:t xml:space="preserve">, trans. Ross Mackenzie (Oxford: Basil Blackwell, 1957): Gerhard Ebeling, "Hermeneutik Locus of the Doctrine of God in Peter Lombard and Thomas Aquinas," </w:t>
      </w:r>
      <w:r>
        <w:rPr>
          <w:i/>
          <w:iCs/>
        </w:rPr>
        <w:t>Journal for Theology and the Church</w:t>
      </w:r>
      <w:r>
        <w:t xml:space="preserve"> 3 (1967): 70-111; T. F. Torrance, "Scientific Hermeneutics According to St. Thomas Aquinas," </w:t>
      </w:r>
      <w:r>
        <w:rPr>
          <w:i/>
          <w:iCs/>
        </w:rPr>
        <w:t>Journal of Theological Studies</w:t>
      </w:r>
      <w:r>
        <w:t xml:space="preserve"> 13 (1962): 259-289.</w:t>
      </w:r>
    </w:p>
  </w:footnote>
  <w:footnote w:id="49">
    <w:p w:rsidR="00CF03B2" w:rsidRDefault="00CF03B2" w:rsidP="00F84A76">
      <w:pPr>
        <w:spacing w:after="240"/>
      </w:pPr>
      <w:r>
        <w:t xml:space="preserve">     </w:t>
      </w:r>
      <w:r>
        <w:rPr>
          <w:vertAlign w:val="superscript"/>
        </w:rPr>
        <w:footnoteRef/>
      </w:r>
      <w:r>
        <w:t xml:space="preserve"> James George Kiecker, "The Hermeneutical Principles and Exegetical Methods of Nicholas of Lyra, O. F. M. (CA. 1270-1349)," pp. 274-282. Here he argues that in his </w:t>
      </w:r>
      <w:r>
        <w:rPr>
          <w:i/>
          <w:iCs/>
        </w:rPr>
        <w:t xml:space="preserve">Commentary on Song of Songs </w:t>
      </w:r>
      <w:r>
        <w:t>Luther's basic approach was strikingly similar to the interpretation of Lyra.</w:t>
      </w:r>
    </w:p>
  </w:footnote>
  <w:footnote w:id="50">
    <w:p w:rsidR="00CF03B2" w:rsidRDefault="00CF03B2" w:rsidP="00F84A76">
      <w:pPr>
        <w:spacing w:after="240"/>
      </w:pPr>
      <w:r>
        <w:t xml:space="preserve">     </w:t>
      </w:r>
      <w:r>
        <w:rPr>
          <w:vertAlign w:val="superscript"/>
        </w:rPr>
        <w:footnoteRef/>
      </w:r>
      <w:r>
        <w:t xml:space="preserve"> According to my investigation, Calvin criticized the Roman Catholic church's interpretation around 160 times in his </w:t>
      </w:r>
      <w:r>
        <w:rPr>
          <w:i/>
          <w:iCs/>
        </w:rPr>
        <w:t>Institutes</w:t>
      </w:r>
      <w:r>
        <w:t xml:space="preserve"> and commentaries.</w:t>
      </w:r>
    </w:p>
  </w:footnote>
  <w:footnote w:id="51">
    <w:p w:rsidR="00CF03B2" w:rsidRDefault="00CF03B2" w:rsidP="00F84A76">
      <w:pPr>
        <w:spacing w:after="240"/>
      </w:pPr>
      <w:r>
        <w:t xml:space="preserve">     </w:t>
      </w:r>
      <w:r>
        <w:rPr>
          <w:vertAlign w:val="superscript"/>
        </w:rPr>
        <w:footnoteRef/>
      </w:r>
      <w:r>
        <w:t xml:space="preserve"> </w:t>
      </w:r>
      <w:r>
        <w:rPr>
          <w:i/>
          <w:iCs/>
        </w:rPr>
        <w:t>Comm. on Ac</w:t>
      </w:r>
      <w:r>
        <w:t xml:space="preserve">. 18:28, p. 205. </w:t>
      </w:r>
    </w:p>
  </w:footnote>
  <w:footnote w:id="52">
    <w:p w:rsidR="00CF03B2" w:rsidRDefault="00CF03B2" w:rsidP="00F84A76">
      <w:pPr>
        <w:spacing w:after="240"/>
      </w:pPr>
      <w:r>
        <w:t xml:space="preserve">     </w:t>
      </w:r>
      <w:r>
        <w:rPr>
          <w:vertAlign w:val="superscript"/>
        </w:rPr>
        <w:footnoteRef/>
      </w:r>
      <w:r>
        <w:t xml:space="preserve"> For this issue, see chapter 6.</w:t>
      </w:r>
    </w:p>
  </w:footnote>
  <w:footnote w:id="53">
    <w:p w:rsidR="00CF03B2" w:rsidRDefault="00CF03B2" w:rsidP="00F84A76">
      <w:pPr>
        <w:spacing w:after="240"/>
      </w:pPr>
      <w:r>
        <w:t xml:space="preserve">     </w:t>
      </w:r>
      <w:r>
        <w:rPr>
          <w:vertAlign w:val="superscript"/>
        </w:rPr>
        <w:footnoteRef/>
      </w:r>
      <w:r>
        <w:t xml:space="preserve"> </w:t>
      </w:r>
      <w:r>
        <w:rPr>
          <w:i/>
          <w:iCs/>
        </w:rPr>
        <w:t>Inst</w:t>
      </w:r>
      <w:r>
        <w:t>. 4.9.13, p. 1177.</w:t>
      </w:r>
    </w:p>
  </w:footnote>
  <w:footnote w:id="54">
    <w:p w:rsidR="00CF03B2" w:rsidRDefault="00CF03B2" w:rsidP="00F84A76">
      <w:pPr>
        <w:spacing w:after="240"/>
      </w:pPr>
      <w:r>
        <w:t xml:space="preserve">     </w:t>
      </w:r>
      <w:r>
        <w:rPr>
          <w:vertAlign w:val="superscript"/>
        </w:rPr>
        <w:footnoteRef/>
      </w:r>
      <w:r>
        <w:t xml:space="preserve"> </w:t>
      </w:r>
      <w:r>
        <w:rPr>
          <w:i/>
          <w:iCs/>
        </w:rPr>
        <w:t>Inst</w:t>
      </w:r>
      <w:r>
        <w:t>. 4.9.14, p. 1177.</w:t>
      </w:r>
    </w:p>
  </w:footnote>
  <w:footnote w:id="55">
    <w:p w:rsidR="00CF03B2" w:rsidRDefault="00CF03B2" w:rsidP="00F84A76">
      <w:pPr>
        <w:spacing w:after="240"/>
      </w:pPr>
      <w:r>
        <w:t xml:space="preserve">     </w:t>
      </w:r>
      <w:r>
        <w:rPr>
          <w:vertAlign w:val="superscript"/>
        </w:rPr>
        <w:footnoteRef/>
      </w:r>
      <w:r>
        <w:t xml:space="preserve"> </w:t>
      </w:r>
      <w:r>
        <w:rPr>
          <w:i/>
          <w:iCs/>
        </w:rPr>
        <w:t>Inst</w:t>
      </w:r>
      <w:r>
        <w:t>. 4.9.14, p. 1178.</w:t>
      </w:r>
    </w:p>
  </w:footnote>
  <w:footnote w:id="56">
    <w:p w:rsidR="00CF03B2" w:rsidRDefault="00CF03B2" w:rsidP="00F84A76">
      <w:pPr>
        <w:spacing w:after="240"/>
      </w:pPr>
      <w:r>
        <w:t xml:space="preserve">     </w:t>
      </w:r>
      <w:r>
        <w:rPr>
          <w:vertAlign w:val="superscript"/>
        </w:rPr>
        <w:footnoteRef/>
      </w:r>
      <w:r>
        <w:t xml:space="preserve"> </w:t>
      </w:r>
      <w:r>
        <w:rPr>
          <w:i/>
          <w:iCs/>
        </w:rPr>
        <w:t>Comm. on 1 Cor</w:t>
      </w:r>
      <w:r>
        <w:t>. 13:8, p. 425.</w:t>
      </w:r>
    </w:p>
  </w:footnote>
  <w:footnote w:id="57">
    <w:p w:rsidR="00CF03B2" w:rsidRDefault="00CF03B2" w:rsidP="00F84A76">
      <w:pPr>
        <w:spacing w:after="240"/>
      </w:pPr>
      <w:r>
        <w:t xml:space="preserve">     </w:t>
      </w:r>
      <w:r>
        <w:rPr>
          <w:vertAlign w:val="superscript"/>
        </w:rPr>
        <w:footnoteRef/>
      </w:r>
      <w:r>
        <w:t xml:space="preserve"> </w:t>
      </w:r>
      <w:r>
        <w:rPr>
          <w:i/>
          <w:iCs/>
        </w:rPr>
        <w:t>Comm. on 2 Cor</w:t>
      </w:r>
      <w:r>
        <w:t>. 4:17, pp. 213-4.</w:t>
      </w:r>
    </w:p>
  </w:footnote>
  <w:footnote w:id="58">
    <w:p w:rsidR="00CF03B2" w:rsidRDefault="00CF03B2" w:rsidP="00F84A76">
      <w:pPr>
        <w:spacing w:after="240"/>
      </w:pPr>
      <w:r>
        <w:t xml:space="preserve">     </w:t>
      </w:r>
      <w:r>
        <w:rPr>
          <w:vertAlign w:val="superscript"/>
        </w:rPr>
        <w:footnoteRef/>
      </w:r>
      <w:r>
        <w:t xml:space="preserve"> </w:t>
      </w:r>
      <w:r>
        <w:rPr>
          <w:i/>
          <w:iCs/>
        </w:rPr>
        <w:t>Comm. on Gen</w:t>
      </w:r>
      <w:r>
        <w:t>. 22:15, p. 572.</w:t>
      </w:r>
    </w:p>
  </w:footnote>
  <w:footnote w:id="59">
    <w:p w:rsidR="00CF03B2" w:rsidRDefault="00CF03B2" w:rsidP="00F84A76">
      <w:pPr>
        <w:spacing w:after="240"/>
      </w:pPr>
      <w:r>
        <w:t xml:space="preserve">     </w:t>
      </w:r>
      <w:r>
        <w:rPr>
          <w:vertAlign w:val="superscript"/>
        </w:rPr>
        <w:footnoteRef/>
      </w:r>
      <w:r>
        <w:t xml:space="preserve"> </w:t>
      </w:r>
      <w:r>
        <w:rPr>
          <w:i/>
          <w:iCs/>
        </w:rPr>
        <w:t>Comm. on Isa</w:t>
      </w:r>
      <w:r>
        <w:t>. 38:15, pp. 173-4.</w:t>
      </w:r>
    </w:p>
  </w:footnote>
  <w:footnote w:id="60">
    <w:p w:rsidR="00CF03B2" w:rsidRDefault="00CF03B2" w:rsidP="00F84A76">
      <w:pPr>
        <w:spacing w:after="240"/>
      </w:pPr>
      <w:r>
        <w:t xml:space="preserve">     </w:t>
      </w:r>
      <w:r>
        <w:rPr>
          <w:vertAlign w:val="superscript"/>
        </w:rPr>
        <w:footnoteRef/>
      </w:r>
      <w:r>
        <w:t xml:space="preserve"> </w:t>
      </w:r>
      <w:r>
        <w:rPr>
          <w:i/>
          <w:iCs/>
        </w:rPr>
        <w:t>Comm. on Lk</w:t>
      </w:r>
      <w:r>
        <w:t>. 22:19, p. 206.</w:t>
      </w:r>
    </w:p>
  </w:footnote>
  <w:footnote w:id="61">
    <w:p w:rsidR="00CF03B2" w:rsidRDefault="00CF03B2" w:rsidP="00F84A76">
      <w:pPr>
        <w:spacing w:after="240"/>
      </w:pPr>
      <w:r>
        <w:t xml:space="preserve">     </w:t>
      </w:r>
      <w:r>
        <w:rPr>
          <w:vertAlign w:val="superscript"/>
        </w:rPr>
        <w:footnoteRef/>
      </w:r>
      <w:r>
        <w:t xml:space="preserve"> </w:t>
      </w:r>
      <w:r>
        <w:rPr>
          <w:i/>
          <w:iCs/>
        </w:rPr>
        <w:t>Comm. on Lk</w:t>
      </w:r>
      <w:r>
        <w:t>. 22:19, p. 208.</w:t>
      </w:r>
    </w:p>
  </w:footnote>
  <w:footnote w:id="62">
    <w:p w:rsidR="00CF03B2" w:rsidRDefault="00CF03B2" w:rsidP="00F84A76">
      <w:pPr>
        <w:spacing w:after="240"/>
      </w:pPr>
      <w:r>
        <w:t xml:space="preserve">     </w:t>
      </w:r>
      <w:r>
        <w:rPr>
          <w:vertAlign w:val="superscript"/>
        </w:rPr>
        <w:footnoteRef/>
      </w:r>
      <w:r>
        <w:t xml:space="preserve"> </w:t>
      </w:r>
      <w:r>
        <w:rPr>
          <w:i/>
          <w:iCs/>
        </w:rPr>
        <w:t>Comm. on Jn</w:t>
      </w:r>
      <w:r>
        <w:t>. 21:15, p. 29.</w:t>
      </w:r>
    </w:p>
  </w:footnote>
  <w:footnote w:id="63">
    <w:p w:rsidR="00CF03B2" w:rsidRDefault="00CF03B2" w:rsidP="00F84A76">
      <w:pPr>
        <w:spacing w:after="240"/>
      </w:pPr>
      <w:r>
        <w:t xml:space="preserve">     </w:t>
      </w:r>
      <w:r>
        <w:rPr>
          <w:vertAlign w:val="superscript"/>
        </w:rPr>
        <w:footnoteRef/>
      </w:r>
      <w:r>
        <w:t xml:space="preserve"> Ibid.</w:t>
      </w:r>
    </w:p>
  </w:footnote>
  <w:footnote w:id="64">
    <w:p w:rsidR="00CF03B2" w:rsidRDefault="00CF03B2" w:rsidP="00F84A76">
      <w:pPr>
        <w:spacing w:after="240"/>
      </w:pPr>
      <w:r>
        <w:t xml:space="preserve">     </w:t>
      </w:r>
      <w:r>
        <w:rPr>
          <w:vertAlign w:val="superscript"/>
        </w:rPr>
        <w:footnoteRef/>
      </w:r>
      <w:r>
        <w:t xml:space="preserve"> </w:t>
      </w:r>
      <w:r>
        <w:rPr>
          <w:i/>
          <w:iCs/>
        </w:rPr>
        <w:t>Comm. on Gal</w:t>
      </w:r>
      <w:r>
        <w:t>. 2:15, pp. 68-9.</w:t>
      </w:r>
    </w:p>
  </w:footnote>
  <w:footnote w:id="65">
    <w:p w:rsidR="00CF03B2" w:rsidRDefault="00CF03B2" w:rsidP="00F84A76">
      <w:pPr>
        <w:spacing w:after="240"/>
      </w:pPr>
      <w:r>
        <w:t xml:space="preserve">     </w:t>
      </w:r>
      <w:r>
        <w:rPr>
          <w:vertAlign w:val="superscript"/>
        </w:rPr>
        <w:footnoteRef/>
      </w:r>
      <w:r>
        <w:t xml:space="preserve"> </w:t>
      </w:r>
      <w:r>
        <w:rPr>
          <w:i/>
          <w:iCs/>
        </w:rPr>
        <w:t>Comm. on Da</w:t>
      </w:r>
      <w:r>
        <w:t>. 6:22, p. 381.</w:t>
      </w:r>
    </w:p>
  </w:footnote>
  <w:footnote w:id="66">
    <w:p w:rsidR="00007BB1" w:rsidRPr="00007BB1" w:rsidRDefault="00007BB1">
      <w:pPr>
        <w:pStyle w:val="a8"/>
      </w:pPr>
      <w:r>
        <w:rPr>
          <w:rStyle w:val="a3"/>
        </w:rPr>
        <w:footnoteRef/>
      </w:r>
      <w:r>
        <w:t xml:space="preserve"> </w:t>
      </w:r>
      <w:r>
        <w:rPr>
          <w:rFonts w:ascii="Arial" w:hAnsi="Arial" w:cs="Arial"/>
          <w:b/>
          <w:bCs/>
          <w:color w:val="252525"/>
          <w:sz w:val="12"/>
          <w:szCs w:val="12"/>
          <w:shd w:val="clear" w:color="auto" w:fill="FFFFFF"/>
        </w:rPr>
        <w:t>Shlomo Yitzchaki</w:t>
      </w:r>
      <w:r>
        <w:rPr>
          <w:rStyle w:val="apple-converted-space"/>
          <w:rFonts w:ascii="Arial" w:hAnsi="Arial" w:cs="Arial"/>
          <w:color w:val="252525"/>
          <w:sz w:val="12"/>
          <w:szCs w:val="12"/>
          <w:shd w:val="clear" w:color="auto" w:fill="FFFFFF"/>
        </w:rPr>
        <w:t> </w:t>
      </w:r>
      <w:r>
        <w:rPr>
          <w:rFonts w:ascii="Arial" w:hAnsi="Arial" w:cs="Arial"/>
          <w:color w:val="252525"/>
          <w:sz w:val="12"/>
          <w:szCs w:val="12"/>
          <w:shd w:val="clear" w:color="auto" w:fill="FFFFFF"/>
        </w:rPr>
        <w:t>(</w:t>
      </w:r>
      <w:hyperlink r:id="rId68" w:tooltip="Hebrew language" w:history="1">
        <w:r>
          <w:rPr>
            <w:rStyle w:val="a6"/>
            <w:rFonts w:ascii="Arial" w:hAnsi="Arial" w:cs="Arial"/>
            <w:color w:val="0B0080"/>
            <w:sz w:val="12"/>
            <w:szCs w:val="12"/>
            <w:shd w:val="clear" w:color="auto" w:fill="FFFFFF"/>
          </w:rPr>
          <w:t>Hebrew</w:t>
        </w:r>
      </w:hyperlink>
      <w:r>
        <w:rPr>
          <w:rFonts w:ascii="Arial" w:hAnsi="Arial" w:cs="Arial"/>
          <w:color w:val="252525"/>
          <w:sz w:val="12"/>
          <w:szCs w:val="12"/>
          <w:shd w:val="clear" w:color="auto" w:fill="FFFFFF"/>
        </w:rPr>
        <w:t>:</w:t>
      </w:r>
      <w:r>
        <w:rPr>
          <w:rStyle w:val="apple-converted-space"/>
          <w:rFonts w:ascii="Arial" w:hAnsi="Arial" w:cs="Arial"/>
          <w:color w:val="252525"/>
          <w:sz w:val="12"/>
          <w:szCs w:val="12"/>
          <w:shd w:val="clear" w:color="auto" w:fill="FFFFFF"/>
        </w:rPr>
        <w:t> </w:t>
      </w:r>
      <w:r>
        <w:rPr>
          <w:rFonts w:ascii="Arial" w:hAnsi="Arial" w:cs="Arial"/>
          <w:color w:val="252525"/>
          <w:sz w:val="12"/>
          <w:szCs w:val="12"/>
          <w:shd w:val="clear" w:color="auto" w:fill="FFFFFF"/>
          <w:rtl/>
          <w:lang w:bidi="he-IL"/>
        </w:rPr>
        <w:t>רבי שלמה יצחקי</w:t>
      </w:r>
      <w:r>
        <w:rPr>
          <w:rFonts w:ascii="Arial" w:hAnsi="Arial" w:cs="Arial"/>
          <w:color w:val="252525"/>
          <w:sz w:val="12"/>
          <w:szCs w:val="12"/>
          <w:shd w:val="clear" w:color="auto" w:fill="FFFFFF"/>
        </w:rPr>
        <w:t>‎; 22 February 1040 – 13 July 1105), in</w:t>
      </w:r>
      <w:r>
        <w:rPr>
          <w:rStyle w:val="apple-converted-space"/>
          <w:rFonts w:ascii="Arial" w:hAnsi="Arial" w:cs="Arial"/>
          <w:color w:val="252525"/>
          <w:sz w:val="12"/>
          <w:szCs w:val="12"/>
          <w:shd w:val="clear" w:color="auto" w:fill="FFFFFF"/>
        </w:rPr>
        <w:t> </w:t>
      </w:r>
      <w:hyperlink r:id="rId69" w:tooltip="Latin" w:history="1">
        <w:r>
          <w:rPr>
            <w:rStyle w:val="a6"/>
            <w:rFonts w:ascii="Arial" w:hAnsi="Arial" w:cs="Arial"/>
            <w:color w:val="0B0080"/>
            <w:sz w:val="12"/>
            <w:szCs w:val="12"/>
            <w:shd w:val="clear" w:color="auto" w:fill="FFFFFF"/>
          </w:rPr>
          <w:t>Latin</w:t>
        </w:r>
      </w:hyperlink>
      <w:r>
        <w:rPr>
          <w:rFonts w:ascii="Arial" w:hAnsi="Arial" w:cs="Arial"/>
          <w:color w:val="252525"/>
          <w:sz w:val="12"/>
          <w:szCs w:val="12"/>
          <w:shd w:val="clear" w:color="auto" w:fill="FFFFFF"/>
        </w:rPr>
        <w:t>:</w:t>
      </w:r>
      <w:r>
        <w:rPr>
          <w:rStyle w:val="apple-converted-space"/>
          <w:rFonts w:ascii="Arial" w:hAnsi="Arial" w:cs="Arial"/>
          <w:color w:val="252525"/>
          <w:sz w:val="12"/>
          <w:szCs w:val="12"/>
          <w:shd w:val="clear" w:color="auto" w:fill="FFFFFF"/>
        </w:rPr>
        <w:t> </w:t>
      </w:r>
      <w:r>
        <w:rPr>
          <w:rFonts w:ascii="Arial" w:hAnsi="Arial" w:cs="Arial"/>
          <w:b/>
          <w:bCs/>
          <w:color w:val="252525"/>
          <w:sz w:val="12"/>
          <w:szCs w:val="12"/>
          <w:shd w:val="clear" w:color="auto" w:fill="FFFFFF"/>
        </w:rPr>
        <w:t>Salomon Isaacides</w:t>
      </w:r>
      <w:r>
        <w:rPr>
          <w:rFonts w:ascii="Arial" w:hAnsi="Arial" w:cs="Arial"/>
          <w:color w:val="252525"/>
          <w:sz w:val="12"/>
          <w:szCs w:val="12"/>
          <w:shd w:val="clear" w:color="auto" w:fill="FFFFFF"/>
        </w:rPr>
        <w:t>, and today generally known by the acronym</w:t>
      </w:r>
      <w:r>
        <w:rPr>
          <w:rStyle w:val="apple-converted-space"/>
          <w:rFonts w:ascii="Arial" w:hAnsi="Arial" w:cs="Arial"/>
          <w:color w:val="252525"/>
          <w:sz w:val="12"/>
          <w:szCs w:val="12"/>
          <w:shd w:val="clear" w:color="auto" w:fill="FFFFFF"/>
        </w:rPr>
        <w:t> </w:t>
      </w:r>
      <w:r>
        <w:rPr>
          <w:rFonts w:ascii="Arial" w:hAnsi="Arial" w:cs="Arial"/>
          <w:b/>
          <w:bCs/>
          <w:color w:val="252525"/>
          <w:sz w:val="12"/>
          <w:szCs w:val="12"/>
          <w:shd w:val="clear" w:color="auto" w:fill="FFFFFF"/>
        </w:rPr>
        <w:t>Rashi</w:t>
      </w:r>
      <w:r>
        <w:rPr>
          <w:rStyle w:val="apple-converted-space"/>
          <w:rFonts w:ascii="Arial" w:hAnsi="Arial" w:cs="Arial"/>
          <w:color w:val="252525"/>
          <w:sz w:val="12"/>
          <w:szCs w:val="12"/>
          <w:shd w:val="clear" w:color="auto" w:fill="FFFFFF"/>
        </w:rPr>
        <w:t> </w:t>
      </w:r>
      <w:r>
        <w:rPr>
          <w:rFonts w:ascii="Arial" w:hAnsi="Arial" w:cs="Arial"/>
          <w:color w:val="252525"/>
          <w:sz w:val="12"/>
          <w:szCs w:val="12"/>
          <w:shd w:val="clear" w:color="auto" w:fill="FFFFFF"/>
        </w:rPr>
        <w:t>(Hebrew:</w:t>
      </w:r>
      <w:r>
        <w:rPr>
          <w:rFonts w:ascii="Arial" w:hAnsi="Arial" w:cs="Arial"/>
          <w:color w:val="252525"/>
          <w:sz w:val="12"/>
          <w:szCs w:val="12"/>
          <w:shd w:val="clear" w:color="auto" w:fill="FFFFFF"/>
          <w:rtl/>
          <w:lang w:bidi="he-IL"/>
        </w:rPr>
        <w:t>רש"י</w:t>
      </w:r>
      <w:r>
        <w:rPr>
          <w:rFonts w:ascii="Arial" w:hAnsi="Arial" w:cs="Arial"/>
          <w:color w:val="252525"/>
          <w:sz w:val="12"/>
          <w:szCs w:val="12"/>
          <w:shd w:val="clear" w:color="auto" w:fill="FFFFFF"/>
        </w:rPr>
        <w:t>‎,</w:t>
      </w:r>
      <w:r>
        <w:rPr>
          <w:rStyle w:val="apple-converted-space"/>
          <w:rFonts w:ascii="Arial" w:hAnsi="Arial" w:cs="Arial"/>
          <w:color w:val="252525"/>
          <w:sz w:val="12"/>
          <w:szCs w:val="12"/>
          <w:shd w:val="clear" w:color="auto" w:fill="FFFFFF"/>
        </w:rPr>
        <w:t> </w:t>
      </w:r>
      <w:r>
        <w:rPr>
          <w:rFonts w:ascii="Arial" w:hAnsi="Arial" w:cs="Arial"/>
          <w:b/>
          <w:bCs/>
          <w:color w:val="252525"/>
          <w:sz w:val="12"/>
          <w:szCs w:val="12"/>
          <w:shd w:val="clear" w:color="auto" w:fill="FFFFFF"/>
        </w:rPr>
        <w:t>RA</w:t>
      </w:r>
      <w:r>
        <w:rPr>
          <w:rFonts w:ascii="Arial" w:hAnsi="Arial" w:cs="Arial"/>
          <w:color w:val="252525"/>
          <w:sz w:val="12"/>
          <w:szCs w:val="12"/>
          <w:shd w:val="clear" w:color="auto" w:fill="FFFFFF"/>
        </w:rPr>
        <w:t>bbi</w:t>
      </w:r>
      <w:r>
        <w:rPr>
          <w:rStyle w:val="apple-converted-space"/>
          <w:rFonts w:ascii="Arial" w:hAnsi="Arial" w:cs="Arial"/>
          <w:color w:val="252525"/>
          <w:sz w:val="12"/>
          <w:szCs w:val="12"/>
          <w:shd w:val="clear" w:color="auto" w:fill="FFFFFF"/>
        </w:rPr>
        <w:t> </w:t>
      </w:r>
      <w:r>
        <w:rPr>
          <w:rFonts w:ascii="Arial" w:hAnsi="Arial" w:cs="Arial"/>
          <w:b/>
          <w:bCs/>
          <w:color w:val="252525"/>
          <w:sz w:val="12"/>
          <w:szCs w:val="12"/>
          <w:shd w:val="clear" w:color="auto" w:fill="FFFFFF"/>
        </w:rPr>
        <w:t>SH</w:t>
      </w:r>
      <w:r>
        <w:rPr>
          <w:rFonts w:ascii="Arial" w:hAnsi="Arial" w:cs="Arial"/>
          <w:color w:val="252525"/>
          <w:sz w:val="12"/>
          <w:szCs w:val="12"/>
          <w:shd w:val="clear" w:color="auto" w:fill="FFFFFF"/>
        </w:rPr>
        <w:t>lomo</w:t>
      </w:r>
      <w:r>
        <w:rPr>
          <w:rStyle w:val="apple-converted-space"/>
          <w:rFonts w:ascii="Arial" w:hAnsi="Arial" w:cs="Arial"/>
          <w:color w:val="252525"/>
          <w:sz w:val="12"/>
          <w:szCs w:val="12"/>
          <w:shd w:val="clear" w:color="auto" w:fill="FFFFFF"/>
        </w:rPr>
        <w:t> </w:t>
      </w:r>
      <w:r>
        <w:rPr>
          <w:rFonts w:ascii="Arial" w:hAnsi="Arial" w:cs="Arial"/>
          <w:b/>
          <w:bCs/>
          <w:color w:val="252525"/>
          <w:sz w:val="12"/>
          <w:szCs w:val="12"/>
          <w:shd w:val="clear" w:color="auto" w:fill="FFFFFF"/>
        </w:rPr>
        <w:t>I</w:t>
      </w:r>
      <w:r>
        <w:rPr>
          <w:rFonts w:ascii="Arial" w:hAnsi="Arial" w:cs="Arial"/>
          <w:color w:val="252525"/>
          <w:sz w:val="12"/>
          <w:szCs w:val="12"/>
          <w:shd w:val="clear" w:color="auto" w:fill="FFFFFF"/>
        </w:rPr>
        <w:t>tzhaki), was a</w:t>
      </w:r>
      <w:r>
        <w:rPr>
          <w:rStyle w:val="apple-converted-space"/>
          <w:rFonts w:ascii="Arial" w:hAnsi="Arial" w:cs="Arial"/>
          <w:color w:val="252525"/>
          <w:sz w:val="12"/>
          <w:szCs w:val="12"/>
          <w:shd w:val="clear" w:color="auto" w:fill="FFFFFF"/>
        </w:rPr>
        <w:t> </w:t>
      </w:r>
      <w:hyperlink r:id="rId70" w:tooltip="France in the Middle Ages" w:history="1">
        <w:r>
          <w:rPr>
            <w:rStyle w:val="a6"/>
            <w:rFonts w:ascii="Arial" w:hAnsi="Arial" w:cs="Arial"/>
            <w:color w:val="0B0080"/>
            <w:sz w:val="12"/>
            <w:szCs w:val="12"/>
            <w:shd w:val="clear" w:color="auto" w:fill="FFFFFF"/>
          </w:rPr>
          <w:t>medieval French</w:t>
        </w:r>
      </w:hyperlink>
      <w:r>
        <w:rPr>
          <w:rStyle w:val="apple-converted-space"/>
          <w:rFonts w:ascii="Arial" w:hAnsi="Arial" w:cs="Arial"/>
          <w:color w:val="252525"/>
          <w:sz w:val="12"/>
          <w:szCs w:val="12"/>
          <w:shd w:val="clear" w:color="auto" w:fill="FFFFFF"/>
        </w:rPr>
        <w:t> </w:t>
      </w:r>
      <w:hyperlink r:id="rId71" w:tooltip="Rabbi" w:history="1">
        <w:r>
          <w:rPr>
            <w:rStyle w:val="a6"/>
            <w:rFonts w:ascii="Arial" w:hAnsi="Arial" w:cs="Arial"/>
            <w:color w:val="0B0080"/>
            <w:sz w:val="12"/>
            <w:szCs w:val="12"/>
            <w:shd w:val="clear" w:color="auto" w:fill="FFFFFF"/>
          </w:rPr>
          <w:t>rabbi</w:t>
        </w:r>
      </w:hyperlink>
      <w:r>
        <w:rPr>
          <w:rFonts w:ascii="Arial" w:hAnsi="Arial" w:cs="Arial"/>
          <w:color w:val="252525"/>
          <w:sz w:val="12"/>
          <w:szCs w:val="12"/>
          <w:shd w:val="clear" w:color="auto" w:fill="FFFFFF"/>
        </w:rPr>
        <w:t>and author of a comprehensive commentary on the</w:t>
      </w:r>
      <w:hyperlink r:id="rId72" w:tooltip="Talmud" w:history="1">
        <w:r>
          <w:rPr>
            <w:rStyle w:val="a6"/>
            <w:rFonts w:ascii="Arial" w:hAnsi="Arial" w:cs="Arial"/>
            <w:color w:val="0B0080"/>
            <w:sz w:val="12"/>
            <w:szCs w:val="12"/>
            <w:shd w:val="clear" w:color="auto" w:fill="FFFFFF"/>
          </w:rPr>
          <w:t>Talmud</w:t>
        </w:r>
      </w:hyperlink>
      <w:r>
        <w:rPr>
          <w:rStyle w:val="apple-converted-space"/>
          <w:rFonts w:ascii="Arial" w:hAnsi="Arial" w:cs="Arial"/>
          <w:color w:val="252525"/>
          <w:sz w:val="12"/>
          <w:szCs w:val="12"/>
          <w:shd w:val="clear" w:color="auto" w:fill="FFFFFF"/>
        </w:rPr>
        <w:t> </w:t>
      </w:r>
      <w:r>
        <w:rPr>
          <w:rFonts w:ascii="Arial" w:hAnsi="Arial" w:cs="Arial"/>
          <w:color w:val="252525"/>
          <w:sz w:val="12"/>
          <w:szCs w:val="12"/>
          <w:shd w:val="clear" w:color="auto" w:fill="FFFFFF"/>
        </w:rPr>
        <w:t>and</w:t>
      </w:r>
      <w:r>
        <w:rPr>
          <w:rStyle w:val="apple-converted-space"/>
          <w:rFonts w:ascii="Arial" w:hAnsi="Arial" w:cs="Arial"/>
          <w:color w:val="252525"/>
          <w:sz w:val="12"/>
          <w:szCs w:val="12"/>
          <w:shd w:val="clear" w:color="auto" w:fill="FFFFFF"/>
        </w:rPr>
        <w:t> </w:t>
      </w:r>
      <w:hyperlink r:id="rId73" w:tooltip="Jewish commentaries on the Bible" w:history="1">
        <w:r>
          <w:rPr>
            <w:rStyle w:val="a6"/>
            <w:rFonts w:ascii="Arial" w:hAnsi="Arial" w:cs="Arial"/>
            <w:color w:val="0B0080"/>
            <w:sz w:val="12"/>
            <w:szCs w:val="12"/>
            <w:shd w:val="clear" w:color="auto" w:fill="FFFFFF"/>
          </w:rPr>
          <w:t>commentary on the</w:t>
        </w:r>
        <w:r>
          <w:rPr>
            <w:rStyle w:val="apple-converted-space"/>
            <w:rFonts w:ascii="Arial" w:hAnsi="Arial" w:cs="Arial"/>
            <w:color w:val="0B0080"/>
            <w:sz w:val="12"/>
            <w:szCs w:val="12"/>
            <w:shd w:val="clear" w:color="auto" w:fill="FFFFFF"/>
          </w:rPr>
          <w:t> </w:t>
        </w:r>
        <w:r>
          <w:rPr>
            <w:rStyle w:val="a6"/>
            <w:rFonts w:ascii="Arial" w:hAnsi="Arial" w:cs="Arial"/>
            <w:i/>
            <w:iCs/>
            <w:color w:val="0B0080"/>
            <w:sz w:val="12"/>
            <w:szCs w:val="12"/>
            <w:shd w:val="clear" w:color="auto" w:fill="FFFFFF"/>
          </w:rPr>
          <w:t>Tanakh</w:t>
        </w:r>
      </w:hyperlink>
      <w:r>
        <w:rPr>
          <w:rFonts w:ascii="Arial" w:hAnsi="Arial" w:cs="Arial"/>
          <w:color w:val="252525"/>
          <w:sz w:val="12"/>
          <w:szCs w:val="12"/>
          <w:shd w:val="clear" w:color="auto" w:fill="FFFFFF"/>
        </w:rPr>
        <w:t>.</w:t>
      </w:r>
      <w:r>
        <w:rPr>
          <w:rStyle w:val="apple-converted-space"/>
          <w:rFonts w:ascii="Arial" w:hAnsi="Arial" w:cs="Arial"/>
          <w:color w:val="252525"/>
          <w:sz w:val="12"/>
          <w:szCs w:val="12"/>
          <w:shd w:val="clear" w:color="auto" w:fill="FFFFFF"/>
        </w:rPr>
        <w:t> </w:t>
      </w:r>
    </w:p>
  </w:footnote>
  <w:footnote w:id="67">
    <w:p w:rsidR="00007BB1" w:rsidRDefault="00007BB1" w:rsidP="00007BB1">
      <w:pPr>
        <w:pStyle w:val="a7"/>
        <w:shd w:val="clear" w:color="auto" w:fill="FFFFFF"/>
        <w:spacing w:before="120" w:beforeAutospacing="0" w:after="120" w:afterAutospacing="0" w:line="198" w:lineRule="atLeast"/>
        <w:rPr>
          <w:rFonts w:ascii="Arial" w:hAnsi="Arial" w:cs="Arial"/>
          <w:color w:val="252525"/>
          <w:sz w:val="12"/>
          <w:szCs w:val="12"/>
        </w:rPr>
      </w:pPr>
      <w:r>
        <w:rPr>
          <w:rStyle w:val="a3"/>
        </w:rPr>
        <w:footnoteRef/>
      </w:r>
      <w:r>
        <w:t xml:space="preserve"> </w:t>
      </w:r>
      <w:r>
        <w:rPr>
          <w:rFonts w:ascii="Arial" w:hAnsi="Arial" w:cs="Arial"/>
          <w:b/>
          <w:bCs/>
          <w:color w:val="252525"/>
          <w:sz w:val="12"/>
          <w:szCs w:val="12"/>
        </w:rPr>
        <w:t>David Kimhi</w:t>
      </w:r>
      <w:r>
        <w:rPr>
          <w:rStyle w:val="apple-converted-space"/>
          <w:rFonts w:ascii="Arial" w:hAnsi="Arial" w:cs="Arial"/>
          <w:color w:val="252525"/>
          <w:sz w:val="12"/>
          <w:szCs w:val="12"/>
        </w:rPr>
        <w:t> </w:t>
      </w:r>
      <w:r>
        <w:rPr>
          <w:rFonts w:ascii="Arial" w:hAnsi="Arial" w:cs="Arial"/>
          <w:color w:val="252525"/>
          <w:sz w:val="12"/>
          <w:szCs w:val="12"/>
        </w:rPr>
        <w:t>(</w:t>
      </w:r>
      <w:hyperlink r:id="rId74" w:tooltip="Hebrew language" w:history="1">
        <w:r>
          <w:rPr>
            <w:rStyle w:val="a6"/>
            <w:rFonts w:ascii="Arial" w:hAnsi="Arial" w:cs="Arial"/>
            <w:color w:val="0B0080"/>
            <w:sz w:val="12"/>
            <w:szCs w:val="12"/>
          </w:rPr>
          <w:t>Hebrew</w:t>
        </w:r>
      </w:hyperlink>
      <w:r>
        <w:rPr>
          <w:rFonts w:ascii="Arial" w:hAnsi="Arial" w:cs="Arial"/>
          <w:color w:val="252525"/>
          <w:sz w:val="12"/>
          <w:szCs w:val="12"/>
        </w:rPr>
        <w:t>:</w:t>
      </w:r>
      <w:r>
        <w:rPr>
          <w:rStyle w:val="apple-converted-space"/>
          <w:rFonts w:ascii="Arial" w:hAnsi="Arial" w:cs="Arial"/>
          <w:color w:val="252525"/>
          <w:sz w:val="12"/>
          <w:szCs w:val="12"/>
        </w:rPr>
        <w:t> </w:t>
      </w:r>
      <w:r>
        <w:rPr>
          <w:rFonts w:ascii="Arial" w:hAnsi="Arial" w:cs="Arial" w:hint="cs"/>
          <w:color w:val="252525"/>
          <w:sz w:val="12"/>
          <w:szCs w:val="12"/>
          <w:rtl/>
          <w:lang w:bidi="he-IL"/>
        </w:rPr>
        <w:t>דוד קמחי</w:t>
      </w:r>
      <w:r>
        <w:rPr>
          <w:rFonts w:ascii="Arial" w:hAnsi="Arial" w:cs="Arial"/>
          <w:color w:val="252525"/>
          <w:sz w:val="12"/>
          <w:szCs w:val="12"/>
        </w:rPr>
        <w:t>‎, also</w:t>
      </w:r>
      <w:r>
        <w:rPr>
          <w:rStyle w:val="apple-converted-space"/>
          <w:rFonts w:ascii="Arial" w:hAnsi="Arial" w:cs="Arial"/>
          <w:color w:val="252525"/>
          <w:sz w:val="12"/>
          <w:szCs w:val="12"/>
        </w:rPr>
        <w:t> </w:t>
      </w:r>
      <w:r>
        <w:rPr>
          <w:rFonts w:ascii="Arial" w:hAnsi="Arial" w:cs="Arial"/>
          <w:b/>
          <w:bCs/>
          <w:color w:val="252525"/>
          <w:sz w:val="12"/>
          <w:szCs w:val="12"/>
        </w:rPr>
        <w:t>Kimchi</w:t>
      </w:r>
      <w:r>
        <w:rPr>
          <w:rStyle w:val="apple-converted-space"/>
          <w:rFonts w:ascii="Arial" w:hAnsi="Arial" w:cs="Arial"/>
          <w:color w:val="252525"/>
          <w:sz w:val="12"/>
          <w:szCs w:val="12"/>
        </w:rPr>
        <w:t> </w:t>
      </w:r>
      <w:r>
        <w:rPr>
          <w:rFonts w:ascii="Arial" w:hAnsi="Arial" w:cs="Arial"/>
          <w:color w:val="252525"/>
          <w:sz w:val="12"/>
          <w:szCs w:val="12"/>
        </w:rPr>
        <w:t>or</w:t>
      </w:r>
      <w:r>
        <w:rPr>
          <w:rStyle w:val="apple-converted-space"/>
          <w:rFonts w:ascii="Arial" w:hAnsi="Arial" w:cs="Arial"/>
          <w:color w:val="252525"/>
          <w:sz w:val="12"/>
          <w:szCs w:val="12"/>
        </w:rPr>
        <w:t> </w:t>
      </w:r>
      <w:r>
        <w:rPr>
          <w:rFonts w:ascii="Arial" w:hAnsi="Arial" w:cs="Arial"/>
          <w:b/>
          <w:bCs/>
          <w:color w:val="252525"/>
          <w:sz w:val="12"/>
          <w:szCs w:val="12"/>
        </w:rPr>
        <w:t>Qimḥi</w:t>
      </w:r>
      <w:r>
        <w:rPr>
          <w:rFonts w:ascii="Arial" w:hAnsi="Arial" w:cs="Arial"/>
          <w:color w:val="252525"/>
          <w:sz w:val="12"/>
          <w:szCs w:val="12"/>
        </w:rPr>
        <w:t>) (1160–1235), also known by the</w:t>
      </w:r>
      <w:r>
        <w:rPr>
          <w:rStyle w:val="apple-converted-space"/>
          <w:rFonts w:ascii="Arial" w:hAnsi="Arial" w:cs="Arial"/>
          <w:color w:val="252525"/>
          <w:sz w:val="12"/>
          <w:szCs w:val="12"/>
        </w:rPr>
        <w:t> </w:t>
      </w:r>
      <w:hyperlink r:id="rId75" w:tooltip="Hebrew language" w:history="1">
        <w:r>
          <w:rPr>
            <w:rStyle w:val="a6"/>
            <w:rFonts w:ascii="Arial" w:hAnsi="Arial" w:cs="Arial"/>
            <w:color w:val="0B0080"/>
            <w:sz w:val="12"/>
            <w:szCs w:val="12"/>
          </w:rPr>
          <w:t>Hebrew</w:t>
        </w:r>
      </w:hyperlink>
      <w:hyperlink r:id="rId76" w:tooltip="Acronym" w:history="1">
        <w:r>
          <w:rPr>
            <w:rStyle w:val="a6"/>
            <w:rFonts w:ascii="Arial" w:hAnsi="Arial" w:cs="Arial"/>
            <w:color w:val="0B0080"/>
            <w:sz w:val="12"/>
            <w:szCs w:val="12"/>
          </w:rPr>
          <w:t>acronym</w:t>
        </w:r>
      </w:hyperlink>
      <w:r>
        <w:rPr>
          <w:rStyle w:val="apple-converted-space"/>
          <w:rFonts w:ascii="Arial" w:hAnsi="Arial" w:cs="Arial"/>
          <w:color w:val="252525"/>
          <w:sz w:val="12"/>
          <w:szCs w:val="12"/>
        </w:rPr>
        <w:t> </w:t>
      </w:r>
      <w:r>
        <w:rPr>
          <w:rFonts w:ascii="Arial" w:hAnsi="Arial" w:cs="Arial"/>
          <w:color w:val="252525"/>
          <w:sz w:val="12"/>
          <w:szCs w:val="12"/>
        </w:rPr>
        <w:t>as the</w:t>
      </w:r>
      <w:r>
        <w:rPr>
          <w:rStyle w:val="apple-converted-space"/>
          <w:rFonts w:ascii="Arial" w:hAnsi="Arial" w:cs="Arial"/>
          <w:color w:val="252525"/>
          <w:sz w:val="12"/>
          <w:szCs w:val="12"/>
        </w:rPr>
        <w:t> </w:t>
      </w:r>
      <w:r>
        <w:rPr>
          <w:rFonts w:ascii="Arial" w:hAnsi="Arial" w:cs="Arial"/>
          <w:b/>
          <w:bCs/>
          <w:color w:val="252525"/>
          <w:sz w:val="12"/>
          <w:szCs w:val="12"/>
        </w:rPr>
        <w:t>RaDaK</w:t>
      </w:r>
      <w:r>
        <w:rPr>
          <w:rStyle w:val="apple-converted-space"/>
          <w:rFonts w:ascii="Arial" w:hAnsi="Arial" w:cs="Arial"/>
          <w:color w:val="252525"/>
          <w:sz w:val="12"/>
          <w:szCs w:val="12"/>
        </w:rPr>
        <w:t> </w:t>
      </w:r>
      <w:r>
        <w:rPr>
          <w:rFonts w:ascii="Arial" w:hAnsi="Arial" w:cs="Arial"/>
          <w:color w:val="252525"/>
          <w:sz w:val="12"/>
          <w:szCs w:val="12"/>
        </w:rPr>
        <w:t>(</w:t>
      </w:r>
      <w:r>
        <w:rPr>
          <w:rFonts w:ascii="Arial" w:hAnsi="Arial" w:cs="Arial" w:hint="cs"/>
          <w:color w:val="252525"/>
          <w:sz w:val="12"/>
          <w:szCs w:val="12"/>
          <w:lang w:bidi="he-IL"/>
        </w:rPr>
        <w:t>רד"ק</w:t>
      </w:r>
      <w:r>
        <w:rPr>
          <w:rFonts w:ascii="Arial" w:hAnsi="Arial" w:cs="Arial"/>
          <w:color w:val="252525"/>
          <w:sz w:val="12"/>
          <w:szCs w:val="12"/>
        </w:rPr>
        <w:t>) (Rabbi David Kimhi), was a</w:t>
      </w:r>
      <w:r>
        <w:rPr>
          <w:rStyle w:val="apple-converted-space"/>
          <w:rFonts w:ascii="Arial" w:hAnsi="Arial" w:cs="Arial"/>
          <w:color w:val="252525"/>
          <w:sz w:val="12"/>
          <w:szCs w:val="12"/>
        </w:rPr>
        <w:t> </w:t>
      </w:r>
      <w:hyperlink r:id="rId77" w:tooltip="Medieval" w:history="1">
        <w:r>
          <w:rPr>
            <w:rStyle w:val="a6"/>
            <w:rFonts w:ascii="Arial" w:hAnsi="Arial" w:cs="Arial"/>
            <w:color w:val="0B0080"/>
            <w:sz w:val="12"/>
            <w:szCs w:val="12"/>
          </w:rPr>
          <w:t>medieval</w:t>
        </w:r>
      </w:hyperlink>
      <w:r>
        <w:rPr>
          <w:rStyle w:val="apple-converted-space"/>
          <w:rFonts w:ascii="Arial" w:hAnsi="Arial" w:cs="Arial"/>
          <w:color w:val="252525"/>
          <w:sz w:val="12"/>
          <w:szCs w:val="12"/>
        </w:rPr>
        <w:t> </w:t>
      </w:r>
      <w:hyperlink r:id="rId78" w:tooltip="Rabbi" w:history="1">
        <w:r>
          <w:rPr>
            <w:rStyle w:val="a6"/>
            <w:rFonts w:ascii="Arial" w:hAnsi="Arial" w:cs="Arial"/>
            <w:color w:val="0B0080"/>
            <w:sz w:val="12"/>
            <w:szCs w:val="12"/>
          </w:rPr>
          <w:t>rabbi</w:t>
        </w:r>
      </w:hyperlink>
      <w:r>
        <w:rPr>
          <w:rFonts w:ascii="Arial" w:hAnsi="Arial" w:cs="Arial"/>
          <w:color w:val="252525"/>
          <w:sz w:val="12"/>
          <w:szCs w:val="12"/>
        </w:rPr>
        <w:t>,</w:t>
      </w:r>
      <w:r>
        <w:rPr>
          <w:rStyle w:val="apple-converted-space"/>
          <w:rFonts w:ascii="Arial" w:hAnsi="Arial" w:cs="Arial"/>
          <w:color w:val="252525"/>
          <w:sz w:val="12"/>
          <w:szCs w:val="12"/>
        </w:rPr>
        <w:t> </w:t>
      </w:r>
      <w:hyperlink r:id="rId79" w:tooltip="Jewish commentaries on the Bible" w:history="1">
        <w:r>
          <w:rPr>
            <w:rStyle w:val="a6"/>
            <w:rFonts w:ascii="Arial" w:hAnsi="Arial" w:cs="Arial"/>
            <w:color w:val="0B0080"/>
            <w:sz w:val="12"/>
            <w:szCs w:val="12"/>
          </w:rPr>
          <w:t>biblical commentator</w:t>
        </w:r>
      </w:hyperlink>
      <w:r>
        <w:rPr>
          <w:rFonts w:ascii="Arial" w:hAnsi="Arial" w:cs="Arial"/>
          <w:color w:val="252525"/>
          <w:sz w:val="12"/>
          <w:szCs w:val="12"/>
        </w:rPr>
        <w:t>, philosopher, and grammarian.</w:t>
      </w:r>
    </w:p>
    <w:p w:rsidR="00007BB1" w:rsidRDefault="00007BB1" w:rsidP="00007BB1">
      <w:pPr>
        <w:pStyle w:val="a7"/>
        <w:shd w:val="clear" w:color="auto" w:fill="FFFFFF"/>
        <w:spacing w:before="120" w:beforeAutospacing="0" w:after="120" w:afterAutospacing="0" w:line="198" w:lineRule="atLeast"/>
        <w:rPr>
          <w:rFonts w:ascii="Arial" w:hAnsi="Arial" w:cs="Arial"/>
          <w:color w:val="252525"/>
          <w:sz w:val="12"/>
          <w:szCs w:val="12"/>
        </w:rPr>
      </w:pPr>
      <w:r>
        <w:rPr>
          <w:rFonts w:ascii="Arial" w:hAnsi="Arial" w:cs="Arial"/>
          <w:color w:val="252525"/>
          <w:sz w:val="12"/>
          <w:szCs w:val="12"/>
        </w:rPr>
        <w:t>Kimhi was born in</w:t>
      </w:r>
      <w:r>
        <w:rPr>
          <w:rStyle w:val="apple-converted-space"/>
          <w:rFonts w:ascii="Arial" w:hAnsi="Arial" w:cs="Arial"/>
          <w:color w:val="252525"/>
          <w:sz w:val="12"/>
          <w:szCs w:val="12"/>
        </w:rPr>
        <w:t> </w:t>
      </w:r>
      <w:hyperlink r:id="rId80" w:tooltip="Narbonne" w:history="1">
        <w:r>
          <w:rPr>
            <w:rStyle w:val="a6"/>
            <w:rFonts w:ascii="Arial" w:hAnsi="Arial" w:cs="Arial"/>
            <w:color w:val="0B0080"/>
            <w:sz w:val="12"/>
            <w:szCs w:val="12"/>
          </w:rPr>
          <w:t>Narbonne</w:t>
        </w:r>
      </w:hyperlink>
      <w:r>
        <w:rPr>
          <w:rFonts w:ascii="Arial" w:hAnsi="Arial" w:cs="Arial"/>
          <w:color w:val="252525"/>
          <w:sz w:val="12"/>
          <w:szCs w:val="12"/>
        </w:rPr>
        <w:t>,</w:t>
      </w:r>
      <w:r>
        <w:rPr>
          <w:rStyle w:val="apple-converted-space"/>
          <w:rFonts w:ascii="Arial" w:hAnsi="Arial" w:cs="Arial"/>
          <w:color w:val="252525"/>
          <w:sz w:val="12"/>
          <w:szCs w:val="12"/>
        </w:rPr>
        <w:t> </w:t>
      </w:r>
      <w:hyperlink r:id="rId81" w:tooltip="Hachmei Provence" w:history="1">
        <w:r>
          <w:rPr>
            <w:rStyle w:val="a6"/>
            <w:rFonts w:ascii="Arial" w:hAnsi="Arial" w:cs="Arial"/>
            <w:color w:val="0B0080"/>
            <w:sz w:val="12"/>
            <w:szCs w:val="12"/>
          </w:rPr>
          <w:t>Provence</w:t>
        </w:r>
      </w:hyperlink>
      <w:r>
        <w:rPr>
          <w:rFonts w:ascii="Arial" w:hAnsi="Arial" w:cs="Arial"/>
          <w:color w:val="252525"/>
          <w:sz w:val="12"/>
          <w:szCs w:val="12"/>
        </w:rPr>
        <w:t>, the youngest son of Rabbi</w:t>
      </w:r>
      <w:r>
        <w:rPr>
          <w:rStyle w:val="apple-converted-space"/>
          <w:rFonts w:ascii="Arial" w:hAnsi="Arial" w:cs="Arial"/>
          <w:color w:val="252525"/>
          <w:sz w:val="12"/>
          <w:szCs w:val="12"/>
        </w:rPr>
        <w:t> </w:t>
      </w:r>
      <w:hyperlink r:id="rId82" w:tooltip="Joseph Kimhi" w:history="1">
        <w:r>
          <w:rPr>
            <w:rStyle w:val="a6"/>
            <w:rFonts w:ascii="Arial" w:hAnsi="Arial" w:cs="Arial"/>
            <w:color w:val="0B0080"/>
            <w:sz w:val="12"/>
            <w:szCs w:val="12"/>
          </w:rPr>
          <w:t>Joseph Kimhi</w:t>
        </w:r>
      </w:hyperlink>
      <w:r>
        <w:rPr>
          <w:rStyle w:val="apple-converted-space"/>
          <w:rFonts w:ascii="Arial" w:hAnsi="Arial" w:cs="Arial"/>
          <w:color w:val="252525"/>
          <w:sz w:val="12"/>
          <w:szCs w:val="12"/>
        </w:rPr>
        <w:t> </w:t>
      </w:r>
      <w:r>
        <w:rPr>
          <w:rFonts w:ascii="Arial" w:hAnsi="Arial" w:cs="Arial"/>
          <w:color w:val="252525"/>
          <w:sz w:val="12"/>
          <w:szCs w:val="12"/>
        </w:rPr>
        <w:t>and the brother of Rabbi</w:t>
      </w:r>
      <w:r>
        <w:rPr>
          <w:rStyle w:val="apple-converted-space"/>
          <w:rFonts w:ascii="Arial" w:hAnsi="Arial" w:cs="Arial"/>
          <w:color w:val="252525"/>
          <w:sz w:val="12"/>
          <w:szCs w:val="12"/>
        </w:rPr>
        <w:t> </w:t>
      </w:r>
      <w:hyperlink r:id="rId83" w:tooltip="Moses Kimhi" w:history="1">
        <w:r>
          <w:rPr>
            <w:rStyle w:val="a6"/>
            <w:rFonts w:ascii="Arial" w:hAnsi="Arial" w:cs="Arial"/>
            <w:color w:val="0B0080"/>
            <w:sz w:val="12"/>
            <w:szCs w:val="12"/>
          </w:rPr>
          <w:t>Moses Kimhi</w:t>
        </w:r>
      </w:hyperlink>
      <w:r>
        <w:rPr>
          <w:rFonts w:ascii="Arial" w:hAnsi="Arial" w:cs="Arial"/>
          <w:color w:val="252525"/>
          <w:sz w:val="12"/>
          <w:szCs w:val="12"/>
        </w:rPr>
        <w:t>, both also biblical commentators and grammarians.</w:t>
      </w:r>
    </w:p>
    <w:p w:rsidR="00007BB1" w:rsidRPr="00007BB1" w:rsidRDefault="00007BB1">
      <w:pPr>
        <w:pStyle w:val="a8"/>
      </w:pPr>
    </w:p>
  </w:footnote>
  <w:footnote w:id="68">
    <w:p w:rsidR="00CF03B2" w:rsidRDefault="00CF03B2" w:rsidP="00F84A76">
      <w:pPr>
        <w:spacing w:after="240"/>
      </w:pPr>
      <w:r>
        <w:t xml:space="preserve">     </w:t>
      </w:r>
      <w:r>
        <w:rPr>
          <w:vertAlign w:val="superscript"/>
        </w:rPr>
        <w:footnoteRef/>
      </w:r>
      <w:r>
        <w:t xml:space="preserve"> In his commentaries on the Old Testament, Calvin mentioned the Jewish interpretation approximately 90 times. </w:t>
      </w:r>
    </w:p>
  </w:footnote>
  <w:footnote w:id="69">
    <w:p w:rsidR="00CF03B2" w:rsidRDefault="00CF03B2" w:rsidP="00F84A76">
      <w:pPr>
        <w:spacing w:after="240"/>
      </w:pPr>
      <w:r>
        <w:t xml:space="preserve">     </w:t>
      </w:r>
      <w:r>
        <w:rPr>
          <w:vertAlign w:val="superscript"/>
        </w:rPr>
        <w:footnoteRef/>
      </w:r>
      <w:r>
        <w:t xml:space="preserve"> </w:t>
      </w:r>
      <w:r>
        <w:rPr>
          <w:i/>
          <w:iCs/>
        </w:rPr>
        <w:t>Comm. on Da</w:t>
      </w:r>
      <w:r>
        <w:t>. 9:24.</w:t>
      </w:r>
    </w:p>
  </w:footnote>
  <w:footnote w:id="70">
    <w:p w:rsidR="00CF03B2" w:rsidRDefault="00CF03B2" w:rsidP="00F84A76">
      <w:pPr>
        <w:spacing w:after="240"/>
      </w:pPr>
      <w:r>
        <w:t xml:space="preserve">     </w:t>
      </w:r>
      <w:r>
        <w:rPr>
          <w:vertAlign w:val="superscript"/>
        </w:rPr>
        <w:footnoteRef/>
      </w:r>
      <w:r>
        <w:t xml:space="preserve"> </w:t>
      </w:r>
      <w:r>
        <w:rPr>
          <w:i/>
          <w:iCs/>
        </w:rPr>
        <w:t>Comm. on Da</w:t>
      </w:r>
      <w:r>
        <w:t xml:space="preserve">. 9:24, </w:t>
      </w:r>
      <w:r>
        <w:rPr>
          <w:i/>
          <w:iCs/>
        </w:rPr>
        <w:t>Comm. on Ps</w:t>
      </w:r>
      <w:r>
        <w:t>. 119:1.</w:t>
      </w:r>
    </w:p>
  </w:footnote>
  <w:footnote w:id="71">
    <w:p w:rsidR="00CF03B2" w:rsidRDefault="00CF03B2" w:rsidP="00F84A76">
      <w:pPr>
        <w:spacing w:after="240"/>
      </w:pPr>
      <w:r>
        <w:t xml:space="preserve">     </w:t>
      </w:r>
      <w:r>
        <w:rPr>
          <w:vertAlign w:val="superscript"/>
        </w:rPr>
        <w:footnoteRef/>
      </w:r>
      <w:r>
        <w:t xml:space="preserve"> </w:t>
      </w:r>
      <w:r>
        <w:rPr>
          <w:i/>
          <w:iCs/>
        </w:rPr>
        <w:t>Comm. on Ps</w:t>
      </w:r>
      <w:r>
        <w:t>. 17:10, 119:1.</w:t>
      </w:r>
    </w:p>
  </w:footnote>
  <w:footnote w:id="72">
    <w:p w:rsidR="00CF03B2" w:rsidRDefault="00CF03B2" w:rsidP="00F84A76">
      <w:pPr>
        <w:spacing w:after="240"/>
      </w:pPr>
      <w:r>
        <w:t xml:space="preserve">     </w:t>
      </w:r>
      <w:r>
        <w:rPr>
          <w:vertAlign w:val="superscript"/>
        </w:rPr>
        <w:footnoteRef/>
      </w:r>
      <w:r>
        <w:t xml:space="preserve"> </w:t>
      </w:r>
      <w:r>
        <w:rPr>
          <w:i/>
          <w:iCs/>
        </w:rPr>
        <w:t>Comm. on Hab</w:t>
      </w:r>
      <w:r>
        <w:t>. 3:13.</w:t>
      </w:r>
    </w:p>
  </w:footnote>
  <w:footnote w:id="73">
    <w:p w:rsidR="00CF03B2" w:rsidRDefault="00CF03B2" w:rsidP="00F84A76">
      <w:pPr>
        <w:spacing w:after="240"/>
      </w:pPr>
      <w:r>
        <w:t xml:space="preserve">     </w:t>
      </w:r>
      <w:r>
        <w:rPr>
          <w:vertAlign w:val="superscript"/>
        </w:rPr>
        <w:footnoteRef/>
      </w:r>
      <w:r>
        <w:t xml:space="preserve"> </w:t>
      </w:r>
      <w:r>
        <w:rPr>
          <w:i/>
          <w:iCs/>
        </w:rPr>
        <w:t>Comm. on Isa</w:t>
      </w:r>
      <w:r>
        <w:t>. 38:2, p. 153. "Jonathan renders it, 'Give up thy house to another'; but the construction conveys a different meaning."</w:t>
      </w:r>
    </w:p>
  </w:footnote>
  <w:footnote w:id="74">
    <w:p w:rsidR="00CF03B2" w:rsidRDefault="00CF03B2" w:rsidP="00F84A76">
      <w:pPr>
        <w:spacing w:after="240"/>
      </w:pPr>
      <w:r>
        <w:t xml:space="preserve">     </w:t>
      </w:r>
      <w:r>
        <w:rPr>
          <w:vertAlign w:val="superscript"/>
        </w:rPr>
        <w:footnoteRef/>
      </w:r>
      <w:r>
        <w:t xml:space="preserve"> </w:t>
      </w:r>
      <w:r>
        <w:rPr>
          <w:i/>
          <w:iCs/>
        </w:rPr>
        <w:t>Comm. on Isa</w:t>
      </w:r>
      <w:r>
        <w:t>. 11:5, p. 382. "T</w:t>
      </w:r>
    </w:p>
  </w:footnote>
  <w:footnote w:id="75">
    <w:p w:rsidR="00CF03B2" w:rsidRDefault="00CF03B2" w:rsidP="00F84A76">
      <w:pPr>
        <w:spacing w:after="240"/>
      </w:pPr>
      <w:r>
        <w:t xml:space="preserve">     </w:t>
      </w:r>
      <w:r>
        <w:rPr>
          <w:vertAlign w:val="superscript"/>
        </w:rPr>
        <w:footnoteRef/>
      </w:r>
      <w:r>
        <w:t xml:space="preserve"> </w:t>
      </w:r>
      <w:r>
        <w:rPr>
          <w:i/>
          <w:iCs/>
        </w:rPr>
        <w:t>Comm. on Isa</w:t>
      </w:r>
      <w:r>
        <w:t>. 40:31, p. 239.</w:t>
      </w:r>
    </w:p>
  </w:footnote>
  <w:footnote w:id="76">
    <w:p w:rsidR="00CF03B2" w:rsidRDefault="00CF03B2" w:rsidP="00F84A76">
      <w:pPr>
        <w:spacing w:after="240"/>
      </w:pPr>
      <w:r>
        <w:t xml:space="preserve">     </w:t>
      </w:r>
      <w:r>
        <w:rPr>
          <w:vertAlign w:val="superscript"/>
        </w:rPr>
        <w:footnoteRef/>
      </w:r>
      <w:r>
        <w:t xml:space="preserve"> </w:t>
      </w:r>
      <w:r>
        <w:rPr>
          <w:i/>
          <w:iCs/>
        </w:rPr>
        <w:t>Comm. on Da</w:t>
      </w:r>
      <w:r>
        <w:t>. 2:44, p. 183. He was a strong opponent of the Christian interpretation on Daniel.</w:t>
      </w:r>
    </w:p>
  </w:footnote>
  <w:footnote w:id="77">
    <w:p w:rsidR="00CF03B2" w:rsidRDefault="00CF03B2" w:rsidP="00F84A76">
      <w:pPr>
        <w:spacing w:after="240"/>
      </w:pPr>
      <w:r>
        <w:t xml:space="preserve">     </w:t>
      </w:r>
      <w:r>
        <w:rPr>
          <w:vertAlign w:val="superscript"/>
        </w:rPr>
        <w:footnoteRef/>
      </w:r>
      <w:r>
        <w:t xml:space="preserve"> </w:t>
      </w:r>
      <w:r>
        <w:rPr>
          <w:i/>
          <w:iCs/>
        </w:rPr>
        <w:t>Comm. on Ps</w:t>
      </w:r>
      <w:r>
        <w:t xml:space="preserve">. 112:5, p. 326. Calvin regarded him as the most correct expositor among the Rabbins. In his </w:t>
      </w:r>
      <w:r>
        <w:rPr>
          <w:i/>
          <w:iCs/>
        </w:rPr>
        <w:t>Comm. on Gen</w:t>
      </w:r>
      <w:r>
        <w:t>. 3:1, pp. 146-7. Calvin criticized him because his interpretation was forced. In his interpretation of Ps. 112:5 Calvin mentioned that more correct was the interpretation of the Chaldean Paraphrast.</w:t>
      </w:r>
    </w:p>
  </w:footnote>
  <w:footnote w:id="78">
    <w:p w:rsidR="00CF03B2" w:rsidRDefault="00CF03B2" w:rsidP="00F84A76">
      <w:pPr>
        <w:spacing w:after="240"/>
      </w:pPr>
      <w:r>
        <w:t xml:space="preserve">     </w:t>
      </w:r>
      <w:r>
        <w:rPr>
          <w:vertAlign w:val="superscript"/>
        </w:rPr>
        <w:footnoteRef/>
      </w:r>
      <w:r>
        <w:t xml:space="preserve">  On this issue, see David L. Puckett, </w:t>
      </w:r>
      <w:r>
        <w:rPr>
          <w:i/>
          <w:iCs/>
        </w:rPr>
        <w:t>John Calvin's Exegesis of the Old Testament</w:t>
      </w:r>
      <w:r>
        <w:t xml:space="preserve">, pp. 1-7. </w:t>
      </w:r>
    </w:p>
  </w:footnote>
  <w:footnote w:id="79">
    <w:p w:rsidR="00CF03B2" w:rsidRDefault="00CF03B2" w:rsidP="00F84A76">
      <w:pPr>
        <w:spacing w:after="240"/>
      </w:pPr>
      <w:r>
        <w:t xml:space="preserve">     </w:t>
      </w:r>
      <w:r>
        <w:rPr>
          <w:vertAlign w:val="superscript"/>
        </w:rPr>
        <w:footnoteRef/>
      </w:r>
      <w:r>
        <w:t xml:space="preserve"> For the study of Calvin's attitude toward the Jewish interpreters, see David L. Puckett, </w:t>
      </w:r>
      <w:r>
        <w:rPr>
          <w:i/>
          <w:iCs/>
        </w:rPr>
        <w:t>John Calvin's Exegesis of the Old Testament</w:t>
      </w:r>
      <w:r>
        <w:t>, pp. 52-81.</w:t>
      </w:r>
    </w:p>
  </w:footnote>
  <w:footnote w:id="80">
    <w:p w:rsidR="00CF03B2" w:rsidRDefault="00CF03B2" w:rsidP="00F84A76">
      <w:pPr>
        <w:spacing w:after="240"/>
      </w:pPr>
      <w:r>
        <w:t xml:space="preserve">     </w:t>
      </w:r>
      <w:r>
        <w:rPr>
          <w:vertAlign w:val="superscript"/>
        </w:rPr>
        <w:footnoteRef/>
      </w:r>
      <w:r>
        <w:t xml:space="preserve"> </w:t>
      </w:r>
      <w:r>
        <w:rPr>
          <w:i/>
          <w:iCs/>
        </w:rPr>
        <w:t>Comm. on Da</w:t>
      </w:r>
      <w:r>
        <w:t>. 7:27, p. 77.</w:t>
      </w:r>
    </w:p>
  </w:footnote>
  <w:footnote w:id="81">
    <w:p w:rsidR="00CF03B2" w:rsidRDefault="00CF03B2" w:rsidP="00F84A76">
      <w:pPr>
        <w:spacing w:after="240"/>
      </w:pPr>
      <w:r>
        <w:t xml:space="preserve">     </w:t>
      </w:r>
      <w:r>
        <w:rPr>
          <w:vertAlign w:val="superscript"/>
        </w:rPr>
        <w:footnoteRef/>
      </w:r>
      <w:r>
        <w:t xml:space="preserve"> K. Exalto, "Calvijn over de vervuling van de oud-testamentische beloften," pp. 115-117.</w:t>
      </w:r>
    </w:p>
  </w:footnote>
  <w:footnote w:id="82">
    <w:p w:rsidR="00CF03B2" w:rsidRDefault="00CF03B2" w:rsidP="00F84A76">
      <w:pPr>
        <w:spacing w:after="240"/>
      </w:pPr>
      <w:r>
        <w:t xml:space="preserve">     </w:t>
      </w:r>
      <w:r>
        <w:rPr>
          <w:vertAlign w:val="superscript"/>
        </w:rPr>
        <w:footnoteRef/>
      </w:r>
      <w:r>
        <w:t xml:space="preserve"> </w:t>
      </w:r>
      <w:r>
        <w:rPr>
          <w:i/>
          <w:iCs/>
        </w:rPr>
        <w:t>Comm. on Da</w:t>
      </w:r>
      <w:r>
        <w:t>. 2:39, p. 174.</w:t>
      </w:r>
    </w:p>
  </w:footnote>
  <w:footnote w:id="83">
    <w:p w:rsidR="00CF03B2" w:rsidRDefault="00CF03B2" w:rsidP="00F84A76">
      <w:pPr>
        <w:spacing w:after="240"/>
      </w:pPr>
      <w:r>
        <w:t xml:space="preserve">     </w:t>
      </w:r>
      <w:r>
        <w:rPr>
          <w:vertAlign w:val="superscript"/>
        </w:rPr>
        <w:footnoteRef/>
      </w:r>
      <w:r>
        <w:t xml:space="preserve"> </w:t>
      </w:r>
      <w:r>
        <w:rPr>
          <w:i/>
          <w:iCs/>
        </w:rPr>
        <w:t>Comm. on Hos</w:t>
      </w:r>
      <w:r>
        <w:t>. 6:2, p. 217.</w:t>
      </w:r>
    </w:p>
  </w:footnote>
  <w:footnote w:id="84">
    <w:p w:rsidR="00CF03B2" w:rsidRDefault="00CF03B2" w:rsidP="00F84A76">
      <w:pPr>
        <w:spacing w:after="240"/>
      </w:pPr>
      <w:r>
        <w:t xml:space="preserve">     </w:t>
      </w:r>
      <w:r>
        <w:rPr>
          <w:vertAlign w:val="superscript"/>
        </w:rPr>
        <w:footnoteRef/>
      </w:r>
      <w:r>
        <w:t xml:space="preserve"> </w:t>
      </w:r>
      <w:r>
        <w:rPr>
          <w:i/>
          <w:iCs/>
        </w:rPr>
        <w:t>Comm. on Da</w:t>
      </w:r>
      <w:r>
        <w:t>. 7:27, p. 72.</w:t>
      </w:r>
    </w:p>
  </w:footnote>
  <w:footnote w:id="85">
    <w:p w:rsidR="00CF03B2" w:rsidRDefault="00CF03B2" w:rsidP="00F84A76">
      <w:pPr>
        <w:spacing w:after="240"/>
      </w:pPr>
      <w:r>
        <w:t xml:space="preserve">     </w:t>
      </w:r>
      <w:r>
        <w:rPr>
          <w:vertAlign w:val="superscript"/>
        </w:rPr>
        <w:footnoteRef/>
      </w:r>
      <w:r>
        <w:t xml:space="preserve"> </w:t>
      </w:r>
      <w:r>
        <w:rPr>
          <w:i/>
          <w:iCs/>
        </w:rPr>
        <w:t>Comm. on Isa</w:t>
      </w:r>
      <w:r>
        <w:t>. 7:14, p. 244.</w:t>
      </w:r>
    </w:p>
  </w:footnote>
  <w:footnote w:id="86">
    <w:p w:rsidR="00CF03B2" w:rsidRDefault="00CF03B2" w:rsidP="00F84A76">
      <w:pPr>
        <w:spacing w:after="240"/>
      </w:pPr>
      <w:r>
        <w:t xml:space="preserve">     </w:t>
      </w:r>
      <w:r>
        <w:rPr>
          <w:vertAlign w:val="superscript"/>
        </w:rPr>
        <w:footnoteRef/>
      </w:r>
      <w:r>
        <w:t xml:space="preserve"> </w:t>
      </w:r>
      <w:r>
        <w:rPr>
          <w:i/>
          <w:iCs/>
        </w:rPr>
        <w:t>Comm. on Da</w:t>
      </w:r>
      <w:r>
        <w:t>. 2:44, p. 181.</w:t>
      </w:r>
    </w:p>
  </w:footnote>
  <w:footnote w:id="87">
    <w:p w:rsidR="00CF03B2" w:rsidRDefault="00CF03B2" w:rsidP="00F84A76">
      <w:pPr>
        <w:spacing w:after="240"/>
      </w:pPr>
      <w:r>
        <w:t xml:space="preserve">     </w:t>
      </w:r>
      <w:r>
        <w:rPr>
          <w:vertAlign w:val="superscript"/>
        </w:rPr>
        <w:footnoteRef/>
      </w:r>
      <w:r>
        <w:t xml:space="preserve"> </w:t>
      </w:r>
      <w:r>
        <w:rPr>
          <w:i/>
          <w:iCs/>
        </w:rPr>
        <w:t>Comm. on Jos</w:t>
      </w:r>
      <w:r>
        <w:t>. 2:1, p. 43.</w:t>
      </w:r>
    </w:p>
  </w:footnote>
  <w:footnote w:id="88">
    <w:p w:rsidR="00CF03B2" w:rsidRDefault="00CF03B2" w:rsidP="00F84A76">
      <w:pPr>
        <w:spacing w:after="240"/>
      </w:pPr>
      <w:r>
        <w:t xml:space="preserve">     </w:t>
      </w:r>
      <w:r>
        <w:rPr>
          <w:vertAlign w:val="superscript"/>
        </w:rPr>
        <w:footnoteRef/>
      </w:r>
      <w:r>
        <w:t xml:space="preserve"> </w:t>
      </w:r>
      <w:r>
        <w:rPr>
          <w:i/>
          <w:iCs/>
        </w:rPr>
        <w:t>Comm. on Ps</w:t>
      </w:r>
      <w:r>
        <w:t>. 109:8, p. 278.</w:t>
      </w:r>
    </w:p>
  </w:footnote>
  <w:footnote w:id="89">
    <w:p w:rsidR="00CF03B2" w:rsidRDefault="00CF03B2" w:rsidP="00F84A76">
      <w:pPr>
        <w:spacing w:after="240"/>
      </w:pPr>
      <w:r>
        <w:t xml:space="preserve">     </w:t>
      </w:r>
      <w:r>
        <w:rPr>
          <w:vertAlign w:val="superscript"/>
        </w:rPr>
        <w:footnoteRef/>
      </w:r>
      <w:r>
        <w:t xml:space="preserve"> </w:t>
      </w:r>
      <w:r>
        <w:rPr>
          <w:i/>
          <w:iCs/>
        </w:rPr>
        <w:t>Comm. on Ps</w:t>
      </w:r>
      <w:r>
        <w:t>. 27:9, p. 459.</w:t>
      </w:r>
    </w:p>
  </w:footnote>
  <w:footnote w:id="90">
    <w:p w:rsidR="00CF03B2" w:rsidRDefault="00CF03B2" w:rsidP="00F84A76">
      <w:pPr>
        <w:spacing w:after="240"/>
      </w:pPr>
      <w:r>
        <w:t xml:space="preserve">     </w:t>
      </w:r>
      <w:r>
        <w:rPr>
          <w:vertAlign w:val="superscript"/>
        </w:rPr>
        <w:footnoteRef/>
      </w:r>
      <w:r>
        <w:t xml:space="preserve"> </w:t>
      </w:r>
      <w:r>
        <w:rPr>
          <w:i/>
          <w:iCs/>
        </w:rPr>
        <w:t>Comm. on Ps</w:t>
      </w:r>
      <w:r>
        <w:t>. 29:1, p. 475.</w:t>
      </w:r>
    </w:p>
  </w:footnote>
  <w:footnote w:id="91">
    <w:p w:rsidR="00CF03B2" w:rsidRDefault="00CF03B2" w:rsidP="00F84A76">
      <w:pPr>
        <w:spacing w:after="240"/>
      </w:pPr>
      <w:r>
        <w:t xml:space="preserve">     </w:t>
      </w:r>
      <w:r>
        <w:rPr>
          <w:vertAlign w:val="superscript"/>
        </w:rPr>
        <w:footnoteRef/>
      </w:r>
      <w:r>
        <w:t xml:space="preserve"> </w:t>
      </w:r>
      <w:r>
        <w:rPr>
          <w:i/>
          <w:iCs/>
        </w:rPr>
        <w:t>Comm. on Ps</w:t>
      </w:r>
      <w:r>
        <w:t>. 15:4, p. 211.</w:t>
      </w:r>
    </w:p>
  </w:footnote>
  <w:footnote w:id="92">
    <w:p w:rsidR="00CF03B2" w:rsidRDefault="00CF03B2" w:rsidP="00F84A76">
      <w:pPr>
        <w:spacing w:after="240"/>
      </w:pPr>
      <w:r>
        <w:t xml:space="preserve">     </w:t>
      </w:r>
      <w:r>
        <w:rPr>
          <w:vertAlign w:val="superscript"/>
        </w:rPr>
        <w:footnoteRef/>
      </w:r>
      <w:r>
        <w:t xml:space="preserve"> </w:t>
      </w:r>
      <w:r>
        <w:rPr>
          <w:i/>
          <w:iCs/>
        </w:rPr>
        <w:t>Comm. on Isa.</w:t>
      </w:r>
      <w:r>
        <w:t xml:space="preserve"> 54:2, p. 135.</w:t>
      </w:r>
    </w:p>
  </w:footnote>
  <w:footnote w:id="93">
    <w:p w:rsidR="00CF03B2" w:rsidRDefault="00CF03B2" w:rsidP="00F84A76">
      <w:pPr>
        <w:spacing w:after="240"/>
      </w:pPr>
      <w:r>
        <w:t xml:space="preserve">     </w:t>
      </w:r>
      <w:r>
        <w:rPr>
          <w:vertAlign w:val="superscript"/>
        </w:rPr>
        <w:footnoteRef/>
      </w:r>
      <w:r>
        <w:t xml:space="preserve"> </w:t>
      </w:r>
      <w:r>
        <w:rPr>
          <w:i/>
          <w:iCs/>
        </w:rPr>
        <w:t>Comm. on Gen</w:t>
      </w:r>
      <w:r>
        <w:t>. 4:23, p. 219.</w:t>
      </w:r>
    </w:p>
  </w:footnote>
  <w:footnote w:id="94">
    <w:p w:rsidR="00CF03B2" w:rsidRDefault="00CF03B2" w:rsidP="00F84A76">
      <w:pPr>
        <w:spacing w:after="240"/>
      </w:pPr>
      <w:r>
        <w:t xml:space="preserve">     </w:t>
      </w:r>
      <w:r>
        <w:rPr>
          <w:vertAlign w:val="superscript"/>
        </w:rPr>
        <w:footnoteRef/>
      </w:r>
      <w:r>
        <w:t xml:space="preserve"> </w:t>
      </w:r>
      <w:r>
        <w:rPr>
          <w:i/>
          <w:iCs/>
        </w:rPr>
        <w:t>Comm. on Am</w:t>
      </w:r>
      <w:r>
        <w:t>. 2:1, p. 172.</w:t>
      </w:r>
    </w:p>
  </w:footnote>
  <w:footnote w:id="95">
    <w:p w:rsidR="00CF03B2" w:rsidRDefault="00CF03B2" w:rsidP="00F84A76">
      <w:pPr>
        <w:spacing w:after="240"/>
      </w:pPr>
      <w:r>
        <w:t xml:space="preserve">     </w:t>
      </w:r>
      <w:r>
        <w:rPr>
          <w:vertAlign w:val="superscript"/>
        </w:rPr>
        <w:footnoteRef/>
      </w:r>
      <w:r>
        <w:t xml:space="preserve"> </w:t>
      </w:r>
      <w:r>
        <w:rPr>
          <w:i/>
          <w:iCs/>
        </w:rPr>
        <w:t>Comm. on Jer. 17:11,</w:t>
      </w:r>
      <w:r>
        <w:t xml:space="preserve"> p. 358.</w:t>
      </w:r>
    </w:p>
  </w:footnote>
  <w:footnote w:id="96">
    <w:p w:rsidR="00CF03B2" w:rsidRDefault="00CF03B2" w:rsidP="00F84A76">
      <w:pPr>
        <w:spacing w:after="240"/>
      </w:pPr>
      <w:r>
        <w:t xml:space="preserve">     </w:t>
      </w:r>
      <w:r>
        <w:rPr>
          <w:vertAlign w:val="superscript"/>
        </w:rPr>
        <w:footnoteRef/>
      </w:r>
      <w:r>
        <w:t xml:space="preserve"> </w:t>
      </w:r>
      <w:r>
        <w:rPr>
          <w:i/>
          <w:iCs/>
        </w:rPr>
        <w:t>Comm. on Ps</w:t>
      </w:r>
      <w:r>
        <w:t>. 136:13, p. 186.</w:t>
      </w:r>
    </w:p>
  </w:footnote>
  <w:footnote w:id="97">
    <w:p w:rsidR="00CF03B2" w:rsidRDefault="00CF03B2" w:rsidP="00F84A76">
      <w:pPr>
        <w:spacing w:after="240"/>
      </w:pPr>
      <w:r>
        <w:t xml:space="preserve">     </w:t>
      </w:r>
      <w:r>
        <w:rPr>
          <w:vertAlign w:val="superscript"/>
        </w:rPr>
        <w:footnoteRef/>
      </w:r>
      <w:r>
        <w:t xml:space="preserve"> </w:t>
      </w:r>
      <w:r>
        <w:rPr>
          <w:i/>
          <w:iCs/>
        </w:rPr>
        <w:t>Comm. on Zec</w:t>
      </w:r>
      <w:r>
        <w:t>. 2:8, p. 68.</w:t>
      </w:r>
    </w:p>
  </w:footnote>
  <w:footnote w:id="98">
    <w:p w:rsidR="00CF03B2" w:rsidRDefault="00CF03B2" w:rsidP="00F84A76">
      <w:pPr>
        <w:spacing w:after="240"/>
      </w:pPr>
      <w:r>
        <w:t xml:space="preserve">     </w:t>
      </w:r>
      <w:r>
        <w:rPr>
          <w:vertAlign w:val="superscript"/>
        </w:rPr>
        <w:footnoteRef/>
      </w:r>
      <w:r>
        <w:t xml:space="preserve"> </w:t>
      </w:r>
      <w:r>
        <w:rPr>
          <w:i/>
          <w:iCs/>
        </w:rPr>
        <w:t>Comm. on Ps</w:t>
      </w:r>
      <w:r>
        <w:t>. 119:109, p. 488.</w:t>
      </w:r>
    </w:p>
  </w:footnote>
  <w:footnote w:id="99">
    <w:p w:rsidR="00CF03B2" w:rsidRDefault="00CF03B2">
      <w:pPr>
        <w:pStyle w:val="a8"/>
        <w:rPr>
          <w:sz w:val="19"/>
          <w:szCs w:val="19"/>
          <w:vertAlign w:val="superscript"/>
        </w:rPr>
      </w:pPr>
      <w:r w:rsidRPr="00313F58">
        <w:rPr>
          <w:rStyle w:val="a3"/>
          <w:rFonts w:ascii="Times New Roman" w:hAnsi="Times New Roman"/>
          <w:sz w:val="20"/>
          <w:szCs w:val="20"/>
        </w:rPr>
        <w:footnoteRef/>
      </w:r>
      <w:r w:rsidRPr="00313F58">
        <w:rPr>
          <w:rFonts w:ascii="Times New Roman" w:hAnsi="Times New Roman"/>
          <w:sz w:val="20"/>
          <w:szCs w:val="20"/>
        </w:rPr>
        <w:t xml:space="preserve"> </w:t>
      </w:r>
      <w:r w:rsidRPr="00313F58">
        <w:rPr>
          <w:rFonts w:ascii="Times New Roman" w:hAnsi="Times New Roman"/>
          <w:b/>
          <w:bCs/>
          <w:sz w:val="20"/>
          <w:szCs w:val="20"/>
        </w:rPr>
        <w:t>Shlomo Yitzchaki</w:t>
      </w:r>
      <w:r w:rsidRPr="00313F58">
        <w:rPr>
          <w:rFonts w:ascii="Times New Roman" w:hAnsi="Times New Roman"/>
          <w:sz w:val="20"/>
          <w:szCs w:val="20"/>
        </w:rPr>
        <w:t xml:space="preserve"> (</w:t>
      </w:r>
      <w:hyperlink r:id="rId84" w:tooltip="Hebrew language" w:history="1">
        <w:r w:rsidRPr="00313F58">
          <w:rPr>
            <w:rStyle w:val="a6"/>
            <w:rFonts w:ascii="Times New Roman" w:hAnsi="Times New Roman"/>
            <w:sz w:val="20"/>
            <w:szCs w:val="20"/>
          </w:rPr>
          <w:t>Hebrew</w:t>
        </w:r>
      </w:hyperlink>
      <w:r w:rsidRPr="00313F58">
        <w:rPr>
          <w:rFonts w:ascii="Times New Roman" w:hAnsi="Times New Roman"/>
          <w:sz w:val="20"/>
          <w:szCs w:val="20"/>
        </w:rPr>
        <w:t xml:space="preserve">: </w:t>
      </w:r>
      <w:r w:rsidRPr="00313F58">
        <w:rPr>
          <w:rFonts w:ascii="Times New Roman" w:hAnsi="Times New Roman"/>
          <w:sz w:val="20"/>
          <w:szCs w:val="20"/>
          <w:rtl/>
          <w:lang w:bidi="he-IL"/>
        </w:rPr>
        <w:t>רבי שלמה יצחקי</w:t>
      </w:r>
      <w:r w:rsidRPr="00313F58">
        <w:rPr>
          <w:rFonts w:ascii="Times New Roman" w:hAnsi="Times New Roman"/>
          <w:sz w:val="20"/>
          <w:szCs w:val="20"/>
        </w:rPr>
        <w:t xml:space="preserve">‎; 22 February 1040 – 13 July 1105), in </w:t>
      </w:r>
      <w:hyperlink r:id="rId85" w:tooltip="Latin" w:history="1">
        <w:r w:rsidRPr="00313F58">
          <w:rPr>
            <w:rStyle w:val="a6"/>
            <w:rFonts w:ascii="Times New Roman" w:hAnsi="Times New Roman"/>
            <w:sz w:val="20"/>
            <w:szCs w:val="20"/>
          </w:rPr>
          <w:t>Latin</w:t>
        </w:r>
      </w:hyperlink>
      <w:r w:rsidRPr="00313F58">
        <w:rPr>
          <w:rFonts w:ascii="Times New Roman" w:hAnsi="Times New Roman"/>
          <w:sz w:val="20"/>
          <w:szCs w:val="20"/>
        </w:rPr>
        <w:t xml:space="preserve">: </w:t>
      </w:r>
      <w:r w:rsidRPr="00313F58">
        <w:rPr>
          <w:rFonts w:ascii="Times New Roman" w:hAnsi="Times New Roman"/>
          <w:b/>
          <w:bCs/>
          <w:sz w:val="20"/>
          <w:szCs w:val="20"/>
        </w:rPr>
        <w:t>Salomon Isaacides</w:t>
      </w:r>
      <w:r w:rsidRPr="00313F58">
        <w:rPr>
          <w:rFonts w:ascii="Times New Roman" w:hAnsi="Times New Roman"/>
          <w:sz w:val="20"/>
          <w:szCs w:val="20"/>
        </w:rPr>
        <w:t xml:space="preserve">, and today generally known by the acronym </w:t>
      </w:r>
      <w:r w:rsidRPr="00313F58">
        <w:rPr>
          <w:rFonts w:ascii="Times New Roman" w:hAnsi="Times New Roman"/>
          <w:b/>
          <w:bCs/>
          <w:sz w:val="20"/>
          <w:szCs w:val="20"/>
        </w:rPr>
        <w:t>Rashi</w:t>
      </w:r>
      <w:r w:rsidRPr="00313F58">
        <w:rPr>
          <w:rFonts w:ascii="Times New Roman" w:hAnsi="Times New Roman"/>
          <w:sz w:val="20"/>
          <w:szCs w:val="20"/>
        </w:rPr>
        <w:t xml:space="preserve"> (Hebrew: </w:t>
      </w:r>
      <w:r w:rsidRPr="00313F58">
        <w:rPr>
          <w:rFonts w:ascii="Times New Roman" w:hAnsi="Times New Roman"/>
          <w:sz w:val="20"/>
          <w:szCs w:val="20"/>
          <w:rtl/>
          <w:lang w:bidi="he-IL"/>
        </w:rPr>
        <w:t>רש"י</w:t>
      </w:r>
      <w:r w:rsidRPr="00313F58">
        <w:rPr>
          <w:rFonts w:ascii="Times New Roman" w:hAnsi="Times New Roman"/>
          <w:sz w:val="20"/>
          <w:szCs w:val="20"/>
        </w:rPr>
        <w:t xml:space="preserve">‎, </w:t>
      </w:r>
      <w:r w:rsidRPr="00313F58">
        <w:rPr>
          <w:rFonts w:ascii="Times New Roman" w:hAnsi="Times New Roman"/>
          <w:b/>
          <w:bCs/>
          <w:sz w:val="20"/>
          <w:szCs w:val="20"/>
        </w:rPr>
        <w:t>RA</w:t>
      </w:r>
      <w:r w:rsidRPr="00313F58">
        <w:rPr>
          <w:rFonts w:ascii="Times New Roman" w:hAnsi="Times New Roman"/>
          <w:sz w:val="20"/>
          <w:szCs w:val="20"/>
        </w:rPr>
        <w:t xml:space="preserve">bbi </w:t>
      </w:r>
      <w:r w:rsidRPr="00313F58">
        <w:rPr>
          <w:rFonts w:ascii="Times New Roman" w:hAnsi="Times New Roman"/>
          <w:b/>
          <w:bCs/>
          <w:sz w:val="20"/>
          <w:szCs w:val="20"/>
        </w:rPr>
        <w:t>SH</w:t>
      </w:r>
      <w:r w:rsidRPr="00313F58">
        <w:rPr>
          <w:rFonts w:ascii="Times New Roman" w:hAnsi="Times New Roman"/>
          <w:sz w:val="20"/>
          <w:szCs w:val="20"/>
        </w:rPr>
        <w:t xml:space="preserve">lomo </w:t>
      </w:r>
      <w:r w:rsidRPr="00313F58">
        <w:rPr>
          <w:rFonts w:ascii="Times New Roman" w:hAnsi="Times New Roman"/>
          <w:b/>
          <w:bCs/>
          <w:sz w:val="20"/>
          <w:szCs w:val="20"/>
        </w:rPr>
        <w:t>I</w:t>
      </w:r>
      <w:r w:rsidRPr="00313F58">
        <w:rPr>
          <w:rFonts w:ascii="Times New Roman" w:hAnsi="Times New Roman"/>
          <w:sz w:val="20"/>
          <w:szCs w:val="20"/>
        </w:rPr>
        <w:t xml:space="preserve">tzhaki), was a </w:t>
      </w:r>
      <w:hyperlink r:id="rId86" w:tooltip="France in the Middle Ages" w:history="1">
        <w:r w:rsidRPr="00313F58">
          <w:rPr>
            <w:rStyle w:val="a6"/>
            <w:rFonts w:ascii="Times New Roman" w:hAnsi="Times New Roman"/>
            <w:sz w:val="20"/>
            <w:szCs w:val="20"/>
          </w:rPr>
          <w:t>medieval French</w:t>
        </w:r>
      </w:hyperlink>
      <w:r w:rsidRPr="00313F58">
        <w:rPr>
          <w:rFonts w:ascii="Times New Roman" w:hAnsi="Times New Roman"/>
          <w:sz w:val="20"/>
          <w:szCs w:val="20"/>
        </w:rPr>
        <w:t xml:space="preserve"> </w:t>
      </w:r>
      <w:hyperlink r:id="rId87" w:tooltip="Rabbi" w:history="1">
        <w:r w:rsidRPr="00313F58">
          <w:rPr>
            <w:rStyle w:val="a6"/>
            <w:rFonts w:ascii="Times New Roman" w:hAnsi="Times New Roman"/>
            <w:sz w:val="20"/>
            <w:szCs w:val="20"/>
          </w:rPr>
          <w:t>rabbi</w:t>
        </w:r>
      </w:hyperlink>
      <w:r w:rsidRPr="00313F58">
        <w:rPr>
          <w:rFonts w:ascii="Times New Roman" w:hAnsi="Times New Roman"/>
          <w:sz w:val="20"/>
          <w:szCs w:val="20"/>
        </w:rPr>
        <w:t xml:space="preserve"> and author of a comprehensive commentary on the </w:t>
      </w:r>
      <w:hyperlink r:id="rId88" w:tooltip="Talmud" w:history="1">
        <w:r w:rsidRPr="00313F58">
          <w:rPr>
            <w:rStyle w:val="a6"/>
            <w:rFonts w:ascii="Times New Roman" w:hAnsi="Times New Roman"/>
            <w:sz w:val="20"/>
            <w:szCs w:val="20"/>
          </w:rPr>
          <w:t>Talmud</w:t>
        </w:r>
      </w:hyperlink>
      <w:r w:rsidRPr="00313F58">
        <w:rPr>
          <w:rFonts w:ascii="Times New Roman" w:hAnsi="Times New Roman"/>
          <w:sz w:val="20"/>
          <w:szCs w:val="20"/>
        </w:rPr>
        <w:t xml:space="preserve"> and </w:t>
      </w:r>
      <w:hyperlink r:id="rId89" w:tooltip="Jewish commentaries on the Bible" w:history="1">
        <w:r w:rsidRPr="00313F58">
          <w:rPr>
            <w:rStyle w:val="a6"/>
            <w:rFonts w:ascii="Times New Roman" w:hAnsi="Times New Roman"/>
            <w:sz w:val="20"/>
            <w:szCs w:val="20"/>
          </w:rPr>
          <w:t xml:space="preserve">commentary on the </w:t>
        </w:r>
        <w:r w:rsidRPr="00313F58">
          <w:rPr>
            <w:rStyle w:val="a6"/>
            <w:rFonts w:ascii="Times New Roman" w:hAnsi="Times New Roman"/>
            <w:i/>
            <w:iCs/>
            <w:sz w:val="20"/>
            <w:szCs w:val="20"/>
          </w:rPr>
          <w:t>Tanakh</w:t>
        </w:r>
      </w:hyperlink>
      <w:r w:rsidRPr="00313F58">
        <w:rPr>
          <w:rFonts w:ascii="Times New Roman" w:hAnsi="Times New Roman"/>
          <w:sz w:val="20"/>
          <w:szCs w:val="20"/>
        </w:rPr>
        <w:t>. Acclaimed for his ability to present the basic meaning of the text in a concise and lucid fashion, Rashi appeals to both learned scholars and beginning students, and his works remain a centerpiece of contemporary Jewish study. His commentary on the Talmud, which covers nearly all of the Babylonian Talmud</w:t>
      </w:r>
      <w:r>
        <w:t xml:space="preserve"> (a </w:t>
      </w:r>
      <w:r w:rsidRPr="00313F58">
        <w:rPr>
          <w:rFonts w:ascii="Times New Roman" w:hAnsi="Times New Roman"/>
          <w:sz w:val="20"/>
          <w:szCs w:val="20"/>
        </w:rPr>
        <w:t xml:space="preserve">total of 30 tractates), has been included in every edition of the Talmud since its first printing by </w:t>
      </w:r>
      <w:hyperlink r:id="rId90" w:tooltip="Daniel Bomberg" w:history="1">
        <w:r w:rsidRPr="00313F58">
          <w:rPr>
            <w:rStyle w:val="a6"/>
            <w:rFonts w:ascii="Times New Roman" w:hAnsi="Times New Roman"/>
            <w:sz w:val="20"/>
            <w:szCs w:val="20"/>
          </w:rPr>
          <w:t>Daniel Bomberg</w:t>
        </w:r>
      </w:hyperlink>
      <w:r w:rsidRPr="00313F58">
        <w:rPr>
          <w:rFonts w:ascii="Times New Roman" w:hAnsi="Times New Roman"/>
          <w:sz w:val="20"/>
          <w:szCs w:val="20"/>
        </w:rPr>
        <w:t xml:space="preserve"> in the 1520s. His commentary on Tanach—especially on the </w:t>
      </w:r>
      <w:hyperlink r:id="rId91" w:tooltip="Chumash (Judaism)" w:history="1">
        <w:r w:rsidRPr="00313F58">
          <w:rPr>
            <w:rStyle w:val="a6"/>
            <w:rFonts w:ascii="Times New Roman" w:hAnsi="Times New Roman"/>
            <w:sz w:val="20"/>
            <w:szCs w:val="20"/>
          </w:rPr>
          <w:t>Chumash</w:t>
        </w:r>
      </w:hyperlink>
      <w:r w:rsidRPr="00313F58">
        <w:rPr>
          <w:rFonts w:ascii="Times New Roman" w:hAnsi="Times New Roman"/>
          <w:sz w:val="20"/>
          <w:szCs w:val="20"/>
        </w:rPr>
        <w:t xml:space="preserve"> ("Five Books of Moses")—is an indispensable aid to students of all levels. The latter commentary alone serves as the basis</w:t>
      </w:r>
      <w:r>
        <w:t xml:space="preserve"> for more than 300 "supercommentaries" which analyze Rashi's choice of language and citations, penned by some of the greatest names in rabbinic literature.</w:t>
      </w:r>
      <w:hyperlink r:id="rId92" w:anchor="cite_note-chabad-1" w:history="1">
        <w:r>
          <w:rPr>
            <w:color w:val="0000FF"/>
            <w:sz w:val="19"/>
            <w:szCs w:val="19"/>
            <w:u w:val="single"/>
            <w:vertAlign w:val="superscript"/>
          </w:rPr>
          <w:t>[1]</w:t>
        </w:r>
      </w:hyperlink>
      <w:r>
        <w:rPr>
          <w:rFonts w:hint="eastAsia"/>
          <w:sz w:val="19"/>
          <w:szCs w:val="19"/>
          <w:vertAlign w:val="superscript"/>
        </w:rPr>
        <w:t xml:space="preserve"> </w:t>
      </w:r>
      <w:hyperlink r:id="rId93" w:history="1">
        <w:r w:rsidRPr="00C71396">
          <w:rPr>
            <w:rStyle w:val="a6"/>
            <w:sz w:val="19"/>
            <w:szCs w:val="19"/>
            <w:vertAlign w:val="superscript"/>
          </w:rPr>
          <w:t>https://en.wikipedia.org/wiki/Rashi</w:t>
        </w:r>
      </w:hyperlink>
    </w:p>
    <w:p w:rsidR="00CF03B2" w:rsidRDefault="00CF03B2">
      <w:pPr>
        <w:pStyle w:val="a8"/>
      </w:pPr>
    </w:p>
  </w:footnote>
  <w:footnote w:id="100">
    <w:p w:rsidR="0030468C" w:rsidRDefault="0030468C" w:rsidP="0030468C">
      <w:pPr>
        <w:spacing w:after="240"/>
      </w:pPr>
      <w:r>
        <w:t xml:space="preserve">     </w:t>
      </w:r>
      <w:r>
        <w:rPr>
          <w:vertAlign w:val="superscript"/>
        </w:rPr>
        <w:footnoteRef/>
      </w:r>
      <w:r>
        <w:t xml:space="preserve"> James George Kiecker, "The Hermeneutical Principles and Exegetical Methods of Nicholas of Lyra, O. F. M. (CA. 1270-1349)," pp. 274-282. Here he argues that in his </w:t>
      </w:r>
      <w:r>
        <w:rPr>
          <w:i/>
          <w:iCs/>
        </w:rPr>
        <w:t xml:space="preserve">Commentary on Song of Songs </w:t>
      </w:r>
      <w:r>
        <w:t>Luther's basic approach was strikingly similar to the interpretation of Lyra.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643AA"/>
    <w:multiLevelType w:val="hybridMultilevel"/>
    <w:tmpl w:val="720E0A18"/>
    <w:lvl w:ilvl="0" w:tplc="BD2CF2CC">
      <w:start w:val="1"/>
      <w:numFmt w:val="bullet"/>
      <w:lvlText w:val=""/>
      <w:lvlJc w:val="left"/>
      <w:pPr>
        <w:tabs>
          <w:tab w:val="num" w:pos="720"/>
        </w:tabs>
        <w:ind w:left="720" w:hanging="360"/>
      </w:pPr>
      <w:rPr>
        <w:rFonts w:ascii="Symbol" w:hAnsi="Symbol" w:hint="default"/>
      </w:rPr>
    </w:lvl>
    <w:lvl w:ilvl="1" w:tplc="46163EC2" w:tentative="1">
      <w:start w:val="1"/>
      <w:numFmt w:val="bullet"/>
      <w:lvlText w:val=""/>
      <w:lvlJc w:val="left"/>
      <w:pPr>
        <w:tabs>
          <w:tab w:val="num" w:pos="1440"/>
        </w:tabs>
        <w:ind w:left="1440" w:hanging="360"/>
      </w:pPr>
      <w:rPr>
        <w:rFonts w:ascii="Symbol" w:hAnsi="Symbol" w:hint="default"/>
      </w:rPr>
    </w:lvl>
    <w:lvl w:ilvl="2" w:tplc="2AF45488" w:tentative="1">
      <w:start w:val="1"/>
      <w:numFmt w:val="bullet"/>
      <w:lvlText w:val=""/>
      <w:lvlJc w:val="left"/>
      <w:pPr>
        <w:tabs>
          <w:tab w:val="num" w:pos="2160"/>
        </w:tabs>
        <w:ind w:left="2160" w:hanging="360"/>
      </w:pPr>
      <w:rPr>
        <w:rFonts w:ascii="Symbol" w:hAnsi="Symbol" w:hint="default"/>
      </w:rPr>
    </w:lvl>
    <w:lvl w:ilvl="3" w:tplc="5DD0504E" w:tentative="1">
      <w:start w:val="1"/>
      <w:numFmt w:val="bullet"/>
      <w:lvlText w:val=""/>
      <w:lvlJc w:val="left"/>
      <w:pPr>
        <w:tabs>
          <w:tab w:val="num" w:pos="2880"/>
        </w:tabs>
        <w:ind w:left="2880" w:hanging="360"/>
      </w:pPr>
      <w:rPr>
        <w:rFonts w:ascii="Symbol" w:hAnsi="Symbol" w:hint="default"/>
      </w:rPr>
    </w:lvl>
    <w:lvl w:ilvl="4" w:tplc="4C4442FC" w:tentative="1">
      <w:start w:val="1"/>
      <w:numFmt w:val="bullet"/>
      <w:lvlText w:val=""/>
      <w:lvlJc w:val="left"/>
      <w:pPr>
        <w:tabs>
          <w:tab w:val="num" w:pos="3600"/>
        </w:tabs>
        <w:ind w:left="3600" w:hanging="360"/>
      </w:pPr>
      <w:rPr>
        <w:rFonts w:ascii="Symbol" w:hAnsi="Symbol" w:hint="default"/>
      </w:rPr>
    </w:lvl>
    <w:lvl w:ilvl="5" w:tplc="4118977A" w:tentative="1">
      <w:start w:val="1"/>
      <w:numFmt w:val="bullet"/>
      <w:lvlText w:val=""/>
      <w:lvlJc w:val="left"/>
      <w:pPr>
        <w:tabs>
          <w:tab w:val="num" w:pos="4320"/>
        </w:tabs>
        <w:ind w:left="4320" w:hanging="360"/>
      </w:pPr>
      <w:rPr>
        <w:rFonts w:ascii="Symbol" w:hAnsi="Symbol" w:hint="default"/>
      </w:rPr>
    </w:lvl>
    <w:lvl w:ilvl="6" w:tplc="B6904114" w:tentative="1">
      <w:start w:val="1"/>
      <w:numFmt w:val="bullet"/>
      <w:lvlText w:val=""/>
      <w:lvlJc w:val="left"/>
      <w:pPr>
        <w:tabs>
          <w:tab w:val="num" w:pos="5040"/>
        </w:tabs>
        <w:ind w:left="5040" w:hanging="360"/>
      </w:pPr>
      <w:rPr>
        <w:rFonts w:ascii="Symbol" w:hAnsi="Symbol" w:hint="default"/>
      </w:rPr>
    </w:lvl>
    <w:lvl w:ilvl="7" w:tplc="F320D332" w:tentative="1">
      <w:start w:val="1"/>
      <w:numFmt w:val="bullet"/>
      <w:lvlText w:val=""/>
      <w:lvlJc w:val="left"/>
      <w:pPr>
        <w:tabs>
          <w:tab w:val="num" w:pos="5760"/>
        </w:tabs>
        <w:ind w:left="5760" w:hanging="360"/>
      </w:pPr>
      <w:rPr>
        <w:rFonts w:ascii="Symbol" w:hAnsi="Symbol" w:hint="default"/>
      </w:rPr>
    </w:lvl>
    <w:lvl w:ilvl="8" w:tplc="BD0AA1AE" w:tentative="1">
      <w:start w:val="1"/>
      <w:numFmt w:val="bullet"/>
      <w:lvlText w:val=""/>
      <w:lvlJc w:val="left"/>
      <w:pPr>
        <w:tabs>
          <w:tab w:val="num" w:pos="6480"/>
        </w:tabs>
        <w:ind w:left="6480" w:hanging="360"/>
      </w:pPr>
      <w:rPr>
        <w:rFonts w:ascii="Symbol" w:hAnsi="Symbol" w:hint="default"/>
      </w:rPr>
    </w:lvl>
  </w:abstractNum>
  <w:abstractNum w:abstractNumId="1">
    <w:nsid w:val="21351B19"/>
    <w:multiLevelType w:val="hybridMultilevel"/>
    <w:tmpl w:val="959CF63A"/>
    <w:lvl w:ilvl="0" w:tplc="04090001">
      <w:start w:val="1"/>
      <w:numFmt w:val="bullet"/>
      <w:lvlText w:val=""/>
      <w:lvlJc w:val="left"/>
      <w:pPr>
        <w:ind w:left="1520" w:hanging="400"/>
      </w:pPr>
      <w:rPr>
        <w:rFonts w:ascii="Wingdings" w:hAnsi="Wingdings"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2">
    <w:nsid w:val="6E4E02CA"/>
    <w:multiLevelType w:val="hybridMultilevel"/>
    <w:tmpl w:val="98C429D0"/>
    <w:lvl w:ilvl="0" w:tplc="81844E2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800"/>
  <w:displayHorizontalDrawingGridEvery w:val="0"/>
  <w:displayVerticalDrawingGridEvery w:val="2"/>
  <w:noPunctuationKerning/>
  <w:characterSpacingControl w:val="doNotCompress"/>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4A76"/>
    <w:rsid w:val="00007BB1"/>
    <w:rsid w:val="001472B4"/>
    <w:rsid w:val="00251663"/>
    <w:rsid w:val="00256EC7"/>
    <w:rsid w:val="0030468C"/>
    <w:rsid w:val="00313F58"/>
    <w:rsid w:val="00360CA3"/>
    <w:rsid w:val="00402DC4"/>
    <w:rsid w:val="00445036"/>
    <w:rsid w:val="004678AB"/>
    <w:rsid w:val="00510389"/>
    <w:rsid w:val="00517D4F"/>
    <w:rsid w:val="00523550"/>
    <w:rsid w:val="005E6C87"/>
    <w:rsid w:val="005F7438"/>
    <w:rsid w:val="00772915"/>
    <w:rsid w:val="007C4C34"/>
    <w:rsid w:val="00803907"/>
    <w:rsid w:val="00967052"/>
    <w:rsid w:val="00980A97"/>
    <w:rsid w:val="009B06A1"/>
    <w:rsid w:val="00AF780F"/>
    <w:rsid w:val="00CF03B2"/>
    <w:rsid w:val="00F84A7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68C"/>
    <w:pPr>
      <w:widowControl w:val="0"/>
      <w:autoSpaceDE w:val="0"/>
      <w:autoSpaceDN w:val="0"/>
      <w:adjustRightInd w:val="0"/>
    </w:pPr>
    <w:rPr>
      <w:rFonts w:ascii="Courier" w:eastAsia="맑은 고딕" w:hAnsi="Courier" w:cs="Times New Roman"/>
      <w:kern w:val="0"/>
      <w:sz w:val="24"/>
      <w:szCs w:val="24"/>
    </w:rPr>
  </w:style>
  <w:style w:type="paragraph" w:styleId="1">
    <w:name w:val="heading 1"/>
    <w:basedOn w:val="a"/>
    <w:link w:val="1Char"/>
    <w:uiPriority w:val="9"/>
    <w:qFormat/>
    <w:rsid w:val="00F84A76"/>
    <w:pPr>
      <w:widowControl/>
      <w:autoSpaceDE/>
      <w:autoSpaceDN/>
      <w:adjustRightInd/>
      <w:spacing w:before="100" w:beforeAutospacing="1" w:after="100" w:afterAutospacing="1"/>
      <w:outlineLvl w:val="0"/>
    </w:pPr>
    <w:rPr>
      <w:rFonts w:ascii="굴림" w:eastAsia="굴림" w:hAnsi="굴림" w:cs="굴림"/>
      <w:b/>
      <w:bCs/>
      <w:kern w:val="36"/>
      <w:sz w:val="48"/>
      <w:szCs w:val="48"/>
    </w:rPr>
  </w:style>
  <w:style w:type="paragraph" w:styleId="2">
    <w:name w:val="heading 2"/>
    <w:basedOn w:val="a"/>
    <w:next w:val="a"/>
    <w:link w:val="2Char"/>
    <w:uiPriority w:val="9"/>
    <w:unhideWhenUsed/>
    <w:qFormat/>
    <w:rsid w:val="00F84A76"/>
    <w:pPr>
      <w:keepNext/>
      <w:outlineLvl w:val="1"/>
    </w:pPr>
    <w:rPr>
      <w:rFonts w:ascii="맑은 고딕" w:hAnsi="맑은 고딕"/>
    </w:rPr>
  </w:style>
  <w:style w:type="paragraph" w:styleId="3">
    <w:name w:val="heading 3"/>
    <w:basedOn w:val="a"/>
    <w:next w:val="a"/>
    <w:link w:val="3Char"/>
    <w:uiPriority w:val="9"/>
    <w:unhideWhenUsed/>
    <w:qFormat/>
    <w:rsid w:val="00F84A76"/>
    <w:pPr>
      <w:keepNext/>
      <w:ind w:leftChars="300" w:left="300" w:hangingChars="200" w:hanging="2000"/>
      <w:outlineLvl w:val="2"/>
    </w:pPr>
    <w:rPr>
      <w:rFonts w:ascii="맑은 고딕" w:hAnsi="맑은 고딕"/>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84A76"/>
    <w:rPr>
      <w:rFonts w:ascii="굴림" w:eastAsia="굴림" w:hAnsi="굴림" w:cs="굴림"/>
      <w:b/>
      <w:bCs/>
      <w:kern w:val="36"/>
      <w:sz w:val="48"/>
      <w:szCs w:val="48"/>
    </w:rPr>
  </w:style>
  <w:style w:type="character" w:customStyle="1" w:styleId="2Char">
    <w:name w:val="제목 2 Char"/>
    <w:basedOn w:val="a0"/>
    <w:link w:val="2"/>
    <w:uiPriority w:val="9"/>
    <w:rsid w:val="00F84A76"/>
    <w:rPr>
      <w:rFonts w:ascii="맑은 고딕" w:eastAsia="맑은 고딕" w:hAnsi="맑은 고딕" w:cs="Times New Roman"/>
      <w:kern w:val="0"/>
      <w:sz w:val="24"/>
      <w:szCs w:val="24"/>
    </w:rPr>
  </w:style>
  <w:style w:type="character" w:customStyle="1" w:styleId="3Char">
    <w:name w:val="제목 3 Char"/>
    <w:basedOn w:val="a0"/>
    <w:link w:val="3"/>
    <w:uiPriority w:val="9"/>
    <w:rsid w:val="00F84A76"/>
    <w:rPr>
      <w:rFonts w:ascii="맑은 고딕" w:eastAsia="맑은 고딕" w:hAnsi="맑은 고딕" w:cs="Times New Roman"/>
      <w:kern w:val="0"/>
      <w:sz w:val="24"/>
      <w:szCs w:val="24"/>
    </w:rPr>
  </w:style>
  <w:style w:type="character" w:styleId="a3">
    <w:name w:val="footnote reference"/>
    <w:uiPriority w:val="99"/>
    <w:rsid w:val="00F84A76"/>
  </w:style>
  <w:style w:type="paragraph" w:styleId="a4">
    <w:name w:val="header"/>
    <w:basedOn w:val="a"/>
    <w:link w:val="Char"/>
    <w:uiPriority w:val="99"/>
    <w:semiHidden/>
    <w:unhideWhenUsed/>
    <w:rsid w:val="00F84A76"/>
    <w:pPr>
      <w:tabs>
        <w:tab w:val="center" w:pos="4513"/>
        <w:tab w:val="right" w:pos="9026"/>
      </w:tabs>
      <w:snapToGrid w:val="0"/>
    </w:pPr>
  </w:style>
  <w:style w:type="character" w:customStyle="1" w:styleId="Char">
    <w:name w:val="머리글 Char"/>
    <w:basedOn w:val="a0"/>
    <w:link w:val="a4"/>
    <w:uiPriority w:val="99"/>
    <w:semiHidden/>
    <w:rsid w:val="00F84A76"/>
    <w:rPr>
      <w:rFonts w:ascii="Courier" w:eastAsia="맑은 고딕" w:hAnsi="Courier" w:cs="Times New Roman"/>
      <w:kern w:val="0"/>
      <w:sz w:val="24"/>
      <w:szCs w:val="24"/>
    </w:rPr>
  </w:style>
  <w:style w:type="paragraph" w:styleId="a5">
    <w:name w:val="footer"/>
    <w:basedOn w:val="a"/>
    <w:link w:val="Char0"/>
    <w:uiPriority w:val="99"/>
    <w:semiHidden/>
    <w:unhideWhenUsed/>
    <w:rsid w:val="00F84A76"/>
    <w:pPr>
      <w:tabs>
        <w:tab w:val="center" w:pos="4513"/>
        <w:tab w:val="right" w:pos="9026"/>
      </w:tabs>
      <w:snapToGrid w:val="0"/>
    </w:pPr>
  </w:style>
  <w:style w:type="character" w:customStyle="1" w:styleId="Char0">
    <w:name w:val="바닥글 Char"/>
    <w:basedOn w:val="a0"/>
    <w:link w:val="a5"/>
    <w:uiPriority w:val="99"/>
    <w:semiHidden/>
    <w:rsid w:val="00F84A76"/>
    <w:rPr>
      <w:rFonts w:ascii="Courier" w:eastAsia="맑은 고딕" w:hAnsi="Courier" w:cs="Times New Roman"/>
      <w:kern w:val="0"/>
      <w:sz w:val="24"/>
      <w:szCs w:val="24"/>
    </w:rPr>
  </w:style>
  <w:style w:type="character" w:styleId="a6">
    <w:name w:val="Hyperlink"/>
    <w:basedOn w:val="a0"/>
    <w:uiPriority w:val="99"/>
    <w:unhideWhenUsed/>
    <w:rsid w:val="00F84A76"/>
    <w:rPr>
      <w:color w:val="0000FF"/>
      <w:u w:val="single"/>
    </w:rPr>
  </w:style>
  <w:style w:type="paragraph" w:styleId="a7">
    <w:name w:val="Normal (Web)"/>
    <w:basedOn w:val="a"/>
    <w:uiPriority w:val="99"/>
    <w:semiHidden/>
    <w:unhideWhenUsed/>
    <w:rsid w:val="00F84A76"/>
    <w:pPr>
      <w:widowControl/>
      <w:autoSpaceDE/>
      <w:autoSpaceDN/>
      <w:adjustRightInd/>
      <w:spacing w:before="100" w:beforeAutospacing="1" w:after="100" w:afterAutospacing="1"/>
    </w:pPr>
    <w:rPr>
      <w:rFonts w:ascii="굴림" w:eastAsia="굴림" w:hAnsi="굴림" w:cs="굴림"/>
    </w:rPr>
  </w:style>
  <w:style w:type="character" w:customStyle="1" w:styleId="apple-converted-space">
    <w:name w:val="apple-converted-space"/>
    <w:basedOn w:val="a0"/>
    <w:rsid w:val="00F84A76"/>
  </w:style>
  <w:style w:type="character" w:customStyle="1" w:styleId="ipa">
    <w:name w:val="ipa"/>
    <w:basedOn w:val="a0"/>
    <w:rsid w:val="00F84A76"/>
  </w:style>
  <w:style w:type="paragraph" w:styleId="a8">
    <w:name w:val="footnote text"/>
    <w:basedOn w:val="a"/>
    <w:link w:val="Char1"/>
    <w:uiPriority w:val="99"/>
    <w:semiHidden/>
    <w:unhideWhenUsed/>
    <w:rsid w:val="00F84A76"/>
    <w:pPr>
      <w:snapToGrid w:val="0"/>
    </w:pPr>
  </w:style>
  <w:style w:type="character" w:customStyle="1" w:styleId="Char1">
    <w:name w:val="각주 텍스트 Char"/>
    <w:basedOn w:val="a0"/>
    <w:link w:val="a8"/>
    <w:uiPriority w:val="99"/>
    <w:semiHidden/>
    <w:rsid w:val="00F84A76"/>
    <w:rPr>
      <w:rFonts w:ascii="Courier" w:eastAsia="맑은 고딕" w:hAnsi="Courier" w:cs="Times New Roman"/>
      <w:kern w:val="0"/>
      <w:sz w:val="24"/>
      <w:szCs w:val="24"/>
    </w:rPr>
  </w:style>
  <w:style w:type="character" w:customStyle="1" w:styleId="mw-headline">
    <w:name w:val="mw-headline"/>
    <w:basedOn w:val="a0"/>
    <w:rsid w:val="00F84A76"/>
  </w:style>
  <w:style w:type="character" w:customStyle="1" w:styleId="mw-editsection">
    <w:name w:val="mw-editsection"/>
    <w:basedOn w:val="a0"/>
    <w:rsid w:val="00F84A76"/>
  </w:style>
  <w:style w:type="character" w:customStyle="1" w:styleId="mw-editsection-bracket">
    <w:name w:val="mw-editsection-bracket"/>
    <w:basedOn w:val="a0"/>
    <w:rsid w:val="00F84A76"/>
  </w:style>
  <w:style w:type="paragraph" w:styleId="a9">
    <w:name w:val="Title"/>
    <w:basedOn w:val="a"/>
    <w:next w:val="a"/>
    <w:link w:val="Char2"/>
    <w:uiPriority w:val="10"/>
    <w:qFormat/>
    <w:rsid w:val="00F84A76"/>
    <w:pPr>
      <w:spacing w:before="240" w:after="120"/>
      <w:jc w:val="center"/>
      <w:outlineLvl w:val="0"/>
    </w:pPr>
    <w:rPr>
      <w:rFonts w:ascii="맑은 고딕" w:eastAsia="돋움" w:hAnsi="맑은 고딕"/>
      <w:b/>
      <w:bCs/>
      <w:sz w:val="32"/>
      <w:szCs w:val="32"/>
    </w:rPr>
  </w:style>
  <w:style w:type="character" w:customStyle="1" w:styleId="Char2">
    <w:name w:val="제목 Char"/>
    <w:basedOn w:val="a0"/>
    <w:link w:val="a9"/>
    <w:uiPriority w:val="10"/>
    <w:rsid w:val="00F84A76"/>
    <w:rPr>
      <w:rFonts w:ascii="맑은 고딕" w:eastAsia="돋움" w:hAnsi="맑은 고딕" w:cs="Times New Roman"/>
      <w:b/>
      <w:bCs/>
      <w:kern w:val="0"/>
      <w:sz w:val="32"/>
      <w:szCs w:val="32"/>
    </w:rPr>
  </w:style>
  <w:style w:type="paragraph" w:styleId="aa">
    <w:name w:val="No Spacing"/>
    <w:uiPriority w:val="1"/>
    <w:qFormat/>
    <w:rsid w:val="00F84A76"/>
    <w:pPr>
      <w:widowControl w:val="0"/>
      <w:autoSpaceDE w:val="0"/>
      <w:autoSpaceDN w:val="0"/>
      <w:adjustRightInd w:val="0"/>
    </w:pPr>
    <w:rPr>
      <w:rFonts w:ascii="Courier" w:eastAsia="맑은 고딕" w:hAnsi="Courier" w:cs="Times New Roman"/>
      <w:kern w:val="0"/>
      <w:sz w:val="24"/>
      <w:szCs w:val="24"/>
    </w:rPr>
  </w:style>
  <w:style w:type="paragraph" w:styleId="ab">
    <w:name w:val="Balloon Text"/>
    <w:basedOn w:val="a"/>
    <w:link w:val="Char3"/>
    <w:uiPriority w:val="99"/>
    <w:semiHidden/>
    <w:unhideWhenUsed/>
    <w:rsid w:val="00F84A76"/>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F84A76"/>
    <w:rPr>
      <w:rFonts w:asciiTheme="majorHAnsi" w:eastAsiaTheme="majorEastAsia" w:hAnsiTheme="majorHAnsi" w:cstheme="majorBidi"/>
      <w:kern w:val="0"/>
      <w:sz w:val="18"/>
      <w:szCs w:val="18"/>
    </w:rPr>
  </w:style>
  <w:style w:type="paragraph" w:styleId="ac">
    <w:name w:val="Subtitle"/>
    <w:basedOn w:val="a"/>
    <w:next w:val="a"/>
    <w:link w:val="Char4"/>
    <w:uiPriority w:val="11"/>
    <w:qFormat/>
    <w:rsid w:val="00510389"/>
    <w:pPr>
      <w:spacing w:after="60"/>
      <w:jc w:val="center"/>
      <w:outlineLvl w:val="1"/>
    </w:pPr>
    <w:rPr>
      <w:rFonts w:asciiTheme="majorHAnsi" w:eastAsiaTheme="majorEastAsia" w:hAnsiTheme="majorHAnsi" w:cstheme="majorBidi"/>
    </w:rPr>
  </w:style>
  <w:style w:type="character" w:customStyle="1" w:styleId="Char4">
    <w:name w:val="부제 Char"/>
    <w:basedOn w:val="a0"/>
    <w:link w:val="ac"/>
    <w:uiPriority w:val="11"/>
    <w:rsid w:val="00510389"/>
    <w:rPr>
      <w:rFonts w:asciiTheme="majorHAnsi" w:eastAsiaTheme="majorEastAsia" w:hAnsiTheme="majorHAnsi" w:cstheme="majorBidi"/>
      <w:kern w:val="0"/>
      <w:sz w:val="24"/>
      <w:szCs w:val="24"/>
    </w:rPr>
  </w:style>
  <w:style w:type="character" w:customStyle="1" w:styleId="mbox-text-span">
    <w:name w:val="mbox-text-span"/>
    <w:basedOn w:val="a0"/>
    <w:rsid w:val="00517D4F"/>
  </w:style>
  <w:style w:type="character" w:customStyle="1" w:styleId="hide-when-compact">
    <w:name w:val="hide-when-compact"/>
    <w:basedOn w:val="a0"/>
    <w:rsid w:val="00517D4F"/>
  </w:style>
  <w:style w:type="character" w:customStyle="1" w:styleId="oneclick-link">
    <w:name w:val="oneclick-link"/>
    <w:basedOn w:val="a0"/>
    <w:rsid w:val="00517D4F"/>
  </w:style>
  <w:style w:type="character" w:styleId="ad">
    <w:name w:val="FollowedHyperlink"/>
    <w:basedOn w:val="a0"/>
    <w:uiPriority w:val="99"/>
    <w:semiHidden/>
    <w:unhideWhenUsed/>
    <w:rsid w:val="00517D4F"/>
    <w:rPr>
      <w:color w:val="800080" w:themeColor="followedHyperlink"/>
      <w:u w:val="single"/>
    </w:rPr>
  </w:style>
  <w:style w:type="character" w:customStyle="1" w:styleId="mention-gloss-double-quote1">
    <w:name w:val="mention-gloss-double-quote1"/>
    <w:basedOn w:val="a0"/>
    <w:rsid w:val="00967052"/>
    <w:rPr>
      <w:b w:val="0"/>
      <w:bCs w:val="0"/>
      <w:i w:val="0"/>
      <w:iCs w:val="0"/>
    </w:rPr>
  </w:style>
  <w:style w:type="character" w:customStyle="1" w:styleId="mention-gloss1">
    <w:name w:val="mention-gloss1"/>
    <w:basedOn w:val="a0"/>
    <w:rsid w:val="00967052"/>
    <w:rPr>
      <w:b w:val="0"/>
      <w:bCs w:val="0"/>
      <w:i w:val="0"/>
      <w:iCs w:val="0"/>
    </w:rPr>
  </w:style>
</w:styles>
</file>

<file path=word/webSettings.xml><?xml version="1.0" encoding="utf-8"?>
<w:webSettings xmlns:r="http://schemas.openxmlformats.org/officeDocument/2006/relationships" xmlns:w="http://schemas.openxmlformats.org/wordprocessingml/2006/main">
  <w:divs>
    <w:div w:id="727727048">
      <w:bodyDiv w:val="1"/>
      <w:marLeft w:val="0"/>
      <w:marRight w:val="0"/>
      <w:marTop w:val="0"/>
      <w:marBottom w:val="0"/>
      <w:divBdr>
        <w:top w:val="none" w:sz="0" w:space="0" w:color="auto"/>
        <w:left w:val="none" w:sz="0" w:space="0" w:color="auto"/>
        <w:bottom w:val="none" w:sz="0" w:space="0" w:color="auto"/>
        <w:right w:val="none" w:sz="0" w:space="0" w:color="auto"/>
      </w:divBdr>
      <w:divsChild>
        <w:div w:id="1811047786">
          <w:marLeft w:val="0"/>
          <w:marRight w:val="0"/>
          <w:marTop w:val="0"/>
          <w:marBottom w:val="0"/>
          <w:divBdr>
            <w:top w:val="none" w:sz="0" w:space="0" w:color="auto"/>
            <w:left w:val="none" w:sz="0" w:space="0" w:color="auto"/>
            <w:bottom w:val="none" w:sz="0" w:space="0" w:color="auto"/>
            <w:right w:val="none" w:sz="0" w:space="0" w:color="auto"/>
          </w:divBdr>
          <w:divsChild>
            <w:div w:id="407191906">
              <w:marLeft w:val="0"/>
              <w:marRight w:val="0"/>
              <w:marTop w:val="0"/>
              <w:marBottom w:val="0"/>
              <w:divBdr>
                <w:top w:val="none" w:sz="0" w:space="0" w:color="auto"/>
                <w:left w:val="none" w:sz="0" w:space="0" w:color="auto"/>
                <w:bottom w:val="none" w:sz="0" w:space="0" w:color="auto"/>
                <w:right w:val="none" w:sz="0" w:space="0" w:color="auto"/>
              </w:divBdr>
            </w:div>
            <w:div w:id="1567183817">
              <w:marLeft w:val="0"/>
              <w:marRight w:val="0"/>
              <w:marTop w:val="0"/>
              <w:marBottom w:val="0"/>
              <w:divBdr>
                <w:top w:val="none" w:sz="0" w:space="0" w:color="auto"/>
                <w:left w:val="none" w:sz="0" w:space="0" w:color="auto"/>
                <w:bottom w:val="none" w:sz="0" w:space="0" w:color="auto"/>
                <w:right w:val="none" w:sz="0" w:space="0" w:color="auto"/>
              </w:divBdr>
              <w:divsChild>
                <w:div w:id="1843469781">
                  <w:marLeft w:val="0"/>
                  <w:marRight w:val="0"/>
                  <w:marTop w:val="0"/>
                  <w:marBottom w:val="0"/>
                  <w:divBdr>
                    <w:top w:val="none" w:sz="0" w:space="0" w:color="auto"/>
                    <w:left w:val="none" w:sz="0" w:space="0" w:color="auto"/>
                    <w:bottom w:val="none" w:sz="0" w:space="0" w:color="auto"/>
                    <w:right w:val="none" w:sz="0" w:space="0" w:color="auto"/>
                  </w:divBdr>
                </w:div>
                <w:div w:id="893587410">
                  <w:marLeft w:val="336"/>
                  <w:marRight w:val="0"/>
                  <w:marTop w:val="120"/>
                  <w:marBottom w:val="312"/>
                  <w:divBdr>
                    <w:top w:val="none" w:sz="0" w:space="0" w:color="auto"/>
                    <w:left w:val="none" w:sz="0" w:space="0" w:color="auto"/>
                    <w:bottom w:val="none" w:sz="0" w:space="0" w:color="auto"/>
                    <w:right w:val="none" w:sz="0" w:space="0" w:color="auto"/>
                  </w:divBdr>
                  <w:divsChild>
                    <w:div w:id="97910895">
                      <w:marLeft w:val="0"/>
                      <w:marRight w:val="0"/>
                      <w:marTop w:val="0"/>
                      <w:marBottom w:val="0"/>
                      <w:divBdr>
                        <w:top w:val="single" w:sz="4" w:space="2" w:color="CCCCCC"/>
                        <w:left w:val="single" w:sz="4" w:space="2" w:color="CCCCCC"/>
                        <w:bottom w:val="single" w:sz="4" w:space="2" w:color="CCCCCC"/>
                        <w:right w:val="single" w:sz="4" w:space="2" w:color="CCCCCC"/>
                      </w:divBdr>
                    </w:div>
                  </w:divsChild>
                </w:div>
                <w:div w:id="1767118198">
                  <w:marLeft w:val="336"/>
                  <w:marRight w:val="0"/>
                  <w:marTop w:val="120"/>
                  <w:marBottom w:val="312"/>
                  <w:divBdr>
                    <w:top w:val="none" w:sz="0" w:space="0" w:color="auto"/>
                    <w:left w:val="none" w:sz="0" w:space="0" w:color="auto"/>
                    <w:bottom w:val="none" w:sz="0" w:space="0" w:color="auto"/>
                    <w:right w:val="none" w:sz="0" w:space="0" w:color="auto"/>
                  </w:divBdr>
                  <w:divsChild>
                    <w:div w:id="2022924454">
                      <w:marLeft w:val="0"/>
                      <w:marRight w:val="0"/>
                      <w:marTop w:val="0"/>
                      <w:marBottom w:val="0"/>
                      <w:divBdr>
                        <w:top w:val="single" w:sz="4" w:space="2" w:color="CCCCCC"/>
                        <w:left w:val="single" w:sz="4" w:space="2" w:color="CCCCCC"/>
                        <w:bottom w:val="single" w:sz="4" w:space="2" w:color="CCCCCC"/>
                        <w:right w:val="single" w:sz="4" w:space="2" w:color="CCCCCC"/>
                      </w:divBdr>
                    </w:div>
                  </w:divsChild>
                </w:div>
              </w:divsChild>
            </w:div>
          </w:divsChild>
        </w:div>
      </w:divsChild>
    </w:div>
    <w:div w:id="828520777">
      <w:bodyDiv w:val="1"/>
      <w:marLeft w:val="0"/>
      <w:marRight w:val="0"/>
      <w:marTop w:val="0"/>
      <w:marBottom w:val="0"/>
      <w:divBdr>
        <w:top w:val="none" w:sz="0" w:space="0" w:color="auto"/>
        <w:left w:val="none" w:sz="0" w:space="0" w:color="auto"/>
        <w:bottom w:val="none" w:sz="0" w:space="0" w:color="auto"/>
        <w:right w:val="none" w:sz="0" w:space="0" w:color="auto"/>
      </w:divBdr>
    </w:div>
    <w:div w:id="1643466156">
      <w:bodyDiv w:val="1"/>
      <w:marLeft w:val="0"/>
      <w:marRight w:val="0"/>
      <w:marTop w:val="0"/>
      <w:marBottom w:val="0"/>
      <w:divBdr>
        <w:top w:val="none" w:sz="0" w:space="0" w:color="auto"/>
        <w:left w:val="none" w:sz="0" w:space="0" w:color="auto"/>
        <w:bottom w:val="none" w:sz="0" w:space="0" w:color="auto"/>
        <w:right w:val="none" w:sz="0" w:space="0" w:color="auto"/>
      </w:divBdr>
      <w:divsChild>
        <w:div w:id="902330859">
          <w:marLeft w:val="0"/>
          <w:marRight w:val="0"/>
          <w:marTop w:val="0"/>
          <w:marBottom w:val="0"/>
          <w:divBdr>
            <w:top w:val="none" w:sz="0" w:space="0" w:color="auto"/>
            <w:left w:val="none" w:sz="0" w:space="0" w:color="auto"/>
            <w:bottom w:val="none" w:sz="0" w:space="0" w:color="auto"/>
            <w:right w:val="none" w:sz="0" w:space="0" w:color="auto"/>
          </w:divBdr>
          <w:divsChild>
            <w:div w:id="1529872692">
              <w:marLeft w:val="0"/>
              <w:marRight w:val="0"/>
              <w:marTop w:val="0"/>
              <w:marBottom w:val="0"/>
              <w:divBdr>
                <w:top w:val="none" w:sz="0" w:space="0" w:color="auto"/>
                <w:left w:val="none" w:sz="0" w:space="0" w:color="auto"/>
                <w:bottom w:val="none" w:sz="0" w:space="0" w:color="auto"/>
                <w:right w:val="none" w:sz="0" w:space="0" w:color="auto"/>
              </w:divBdr>
              <w:divsChild>
                <w:div w:id="4836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02875">
      <w:bodyDiv w:val="1"/>
      <w:marLeft w:val="0"/>
      <w:marRight w:val="0"/>
      <w:marTop w:val="0"/>
      <w:marBottom w:val="0"/>
      <w:divBdr>
        <w:top w:val="none" w:sz="0" w:space="0" w:color="auto"/>
        <w:left w:val="none" w:sz="0" w:space="0" w:color="auto"/>
        <w:bottom w:val="none" w:sz="0" w:space="0" w:color="auto"/>
        <w:right w:val="none" w:sz="0" w:space="0" w:color="auto"/>
      </w:divBdr>
      <w:divsChild>
        <w:div w:id="1612586739">
          <w:marLeft w:val="0"/>
          <w:marRight w:val="0"/>
          <w:marTop w:val="0"/>
          <w:marBottom w:val="0"/>
          <w:divBdr>
            <w:top w:val="none" w:sz="0" w:space="0" w:color="auto"/>
            <w:left w:val="none" w:sz="0" w:space="0" w:color="auto"/>
            <w:bottom w:val="none" w:sz="0" w:space="0" w:color="auto"/>
            <w:right w:val="none" w:sz="0" w:space="0" w:color="auto"/>
          </w:divBdr>
          <w:divsChild>
            <w:div w:id="1728920276">
              <w:marLeft w:val="0"/>
              <w:marRight w:val="0"/>
              <w:marTop w:val="0"/>
              <w:marBottom w:val="0"/>
              <w:divBdr>
                <w:top w:val="none" w:sz="0" w:space="0" w:color="auto"/>
                <w:left w:val="none" w:sz="0" w:space="0" w:color="auto"/>
                <w:bottom w:val="none" w:sz="0" w:space="0" w:color="auto"/>
                <w:right w:val="none" w:sz="0" w:space="0" w:color="auto"/>
              </w:divBdr>
              <w:divsChild>
                <w:div w:id="129336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Christian" TargetMode="External"/><Relationship Id="rId117" Type="http://schemas.openxmlformats.org/officeDocument/2006/relationships/hyperlink" Target="https://en.wikipedia.org/wiki/Augustinians" TargetMode="External"/><Relationship Id="rId21" Type="http://schemas.openxmlformats.org/officeDocument/2006/relationships/hyperlink" Target="https://en.wikipedia.org/wiki/Advent" TargetMode="External"/><Relationship Id="rId42" Type="http://schemas.openxmlformats.org/officeDocument/2006/relationships/hyperlink" Target="https://en.wikipedia.org/wiki/Biblical" TargetMode="External"/><Relationship Id="rId47" Type="http://schemas.openxmlformats.org/officeDocument/2006/relationships/hyperlink" Target="https://en.wikipedia.org/wiki/Stoicism" TargetMode="External"/><Relationship Id="rId63" Type="http://schemas.openxmlformats.org/officeDocument/2006/relationships/hyperlink" Target="https://en.wikipedia.org/wiki/Priest" TargetMode="External"/><Relationship Id="rId68" Type="http://schemas.openxmlformats.org/officeDocument/2006/relationships/hyperlink" Target="https://en.wikipedia.org/wiki/Dalmatia_(Roman_province)" TargetMode="External"/><Relationship Id="rId84" Type="http://schemas.openxmlformats.org/officeDocument/2006/relationships/hyperlink" Target="https://en.wikipedia.org/wiki/Souk_Ahras" TargetMode="External"/><Relationship Id="rId89" Type="http://schemas.openxmlformats.org/officeDocument/2006/relationships/hyperlink" Target="https://en.wikipedia.org/wiki/Saint_Monica" TargetMode="External"/><Relationship Id="rId112" Type="http://schemas.openxmlformats.org/officeDocument/2006/relationships/hyperlink" Target="https://en.wikipedia.org/wiki/First_Council_of_Nicaea" TargetMode="External"/><Relationship Id="rId133" Type="http://schemas.openxmlformats.org/officeDocument/2006/relationships/hyperlink" Target="https://en.wikipedia.org/wiki/Dominican_Order" TargetMode="External"/><Relationship Id="rId138" Type="http://schemas.openxmlformats.org/officeDocument/2006/relationships/hyperlink" Target="https://en.wikipedia.org/wiki/Jurist" TargetMode="External"/><Relationship Id="rId154" Type="http://schemas.openxmlformats.org/officeDocument/2006/relationships/hyperlink" Target="https://en.wikipedia.org/wiki/Thomas_Aquinas" TargetMode="External"/><Relationship Id="rId159" Type="http://schemas.openxmlformats.org/officeDocument/2006/relationships/hyperlink" Target="https://en.wikipedia.org/wiki/Canon_law_(Catholic_Church)" TargetMode="External"/><Relationship Id="rId175" Type="http://schemas.openxmlformats.org/officeDocument/2006/relationships/hyperlink" Target="https://en.wikipedia.org/wiki/Textual_criticism" TargetMode="External"/><Relationship Id="rId170" Type="http://schemas.openxmlformats.org/officeDocument/2006/relationships/hyperlink" Target="https://en.wikipedia.org/wiki/Coll%C3%A8ge_de_Sorbonne" TargetMode="External"/><Relationship Id="rId191" Type="http://schemas.openxmlformats.org/officeDocument/2006/relationships/theme" Target="theme/theme1.xml"/><Relationship Id="rId16" Type="http://schemas.openxmlformats.org/officeDocument/2006/relationships/hyperlink" Target="https://en.wikipedia.org/wiki/Emilia_(region_of_Italy)" TargetMode="External"/><Relationship Id="rId107" Type="http://schemas.openxmlformats.org/officeDocument/2006/relationships/hyperlink" Target="https://en.wikipedia.org/wiki/East%E2%80%93West_Schism" TargetMode="External"/><Relationship Id="rId11" Type="http://schemas.openxmlformats.org/officeDocument/2006/relationships/footer" Target="footer1.xml"/><Relationship Id="rId32" Type="http://schemas.openxmlformats.org/officeDocument/2006/relationships/hyperlink" Target="https://en.wikipedia.org/wiki/Ambrose" TargetMode="External"/><Relationship Id="rId37" Type="http://schemas.openxmlformats.org/officeDocument/2006/relationships/hyperlink" Target="https://en.wikipedia.org/wiki/Gregory_the_Great" TargetMode="External"/><Relationship Id="rId53" Type="http://schemas.openxmlformats.org/officeDocument/2006/relationships/hyperlink" Target="https://en.wikipedia.org/wiki/Christian_universalism" TargetMode="External"/><Relationship Id="rId58" Type="http://schemas.openxmlformats.org/officeDocument/2006/relationships/hyperlink" Target="https://en.wikipedia.org/wiki/Ambrose" TargetMode="External"/><Relationship Id="rId74" Type="http://schemas.openxmlformats.org/officeDocument/2006/relationships/hyperlink" Target="https://en.wikipedia.org/wiki/Bible" TargetMode="External"/><Relationship Id="rId79" Type="http://schemas.openxmlformats.org/officeDocument/2006/relationships/hyperlink" Target="https://en.wikipedia.org/wiki/Pope_Damasus_I" TargetMode="External"/><Relationship Id="rId102" Type="http://schemas.openxmlformats.org/officeDocument/2006/relationships/hyperlink" Target="https://en.wikipedia.org/wiki/Augustine_of_Hippo" TargetMode="External"/><Relationship Id="rId123" Type="http://schemas.openxmlformats.org/officeDocument/2006/relationships/hyperlink" Target="https://en.wikipedia.org/wiki/Salvation" TargetMode="External"/><Relationship Id="rId128" Type="http://schemas.openxmlformats.org/officeDocument/2006/relationships/hyperlink" Target="https://en.wikipedia.org/wiki/Help:IPA_for_English" TargetMode="External"/><Relationship Id="rId144" Type="http://schemas.openxmlformats.org/officeDocument/2006/relationships/hyperlink" Target="https://en.wikipedia.org/wiki/Natural_theology" TargetMode="External"/><Relationship Id="rId149" Type="http://schemas.openxmlformats.org/officeDocument/2006/relationships/hyperlink" Target="https://en.wikipedia.org/wiki/Aristotelianism" TargetMode="External"/><Relationship Id="rId5" Type="http://schemas.openxmlformats.org/officeDocument/2006/relationships/webSettings" Target="webSettings.xml"/><Relationship Id="rId90" Type="http://schemas.openxmlformats.org/officeDocument/2006/relationships/hyperlink" Target="https://en.wikipedia.org/wiki/Augustine_of_Hippo" TargetMode="External"/><Relationship Id="rId95" Type="http://schemas.openxmlformats.org/officeDocument/2006/relationships/hyperlink" Target="https://en.wikipedia.org/wiki/Africa" TargetMode="External"/><Relationship Id="rId160" Type="http://schemas.openxmlformats.org/officeDocument/2006/relationships/hyperlink" Target="https://en.wikipedia.org/wiki/Thomas_Aquinas" TargetMode="External"/><Relationship Id="rId165" Type="http://schemas.openxmlformats.org/officeDocument/2006/relationships/hyperlink" Target="https://en.wikipedia.org/wiki/Franciscan" TargetMode="External"/><Relationship Id="rId181" Type="http://schemas.openxmlformats.org/officeDocument/2006/relationships/hyperlink" Target="https://en.wikipedia.org/wiki/Book_of_Genesis" TargetMode="External"/><Relationship Id="rId186" Type="http://schemas.openxmlformats.org/officeDocument/2006/relationships/hyperlink" Target="https://en.wikipedia.org/wiki/Normandy" TargetMode="External"/><Relationship Id="rId22" Type="http://schemas.openxmlformats.org/officeDocument/2006/relationships/hyperlink" Target="https://en.wikipedia.org/wiki/Doctors_of_the_Church" TargetMode="External"/><Relationship Id="rId27" Type="http://schemas.openxmlformats.org/officeDocument/2006/relationships/hyperlink" Target="https://en.wikipedia.org/wiki/Trier" TargetMode="External"/><Relationship Id="rId43" Type="http://schemas.openxmlformats.org/officeDocument/2006/relationships/hyperlink" Target="https://en.wikipedia.org/wiki/Doctrinal" TargetMode="External"/><Relationship Id="rId48" Type="http://schemas.openxmlformats.org/officeDocument/2006/relationships/hyperlink" Target="https://en.wikipedia.org/wiki/Cicero" TargetMode="External"/><Relationship Id="rId64" Type="http://schemas.openxmlformats.org/officeDocument/2006/relationships/hyperlink" Target="https://en.wikipedia.org/wiki/Confessor" TargetMode="External"/><Relationship Id="rId69" Type="http://schemas.openxmlformats.org/officeDocument/2006/relationships/hyperlink" Target="https://en.wikipedia.org/wiki/Pannonia" TargetMode="External"/><Relationship Id="rId113" Type="http://schemas.openxmlformats.org/officeDocument/2006/relationships/hyperlink" Target="https://en.wikipedia.org/wiki/First_Council_of_Constantinople" TargetMode="External"/><Relationship Id="rId118" Type="http://schemas.openxmlformats.org/officeDocument/2006/relationships/hyperlink" Target="https://en.wikipedia.org/wiki/Patron_saint" TargetMode="External"/><Relationship Id="rId134" Type="http://schemas.openxmlformats.org/officeDocument/2006/relationships/hyperlink" Target="https://en.wikipedia.org/wiki/Friar" TargetMode="External"/><Relationship Id="rId139" Type="http://schemas.openxmlformats.org/officeDocument/2006/relationships/hyperlink" Target="https://en.wikipedia.org/wiki/Scholasticism" TargetMode="External"/><Relationship Id="rId80" Type="http://schemas.openxmlformats.org/officeDocument/2006/relationships/hyperlink" Target="https://en.wikipedia.org/wiki/Jesus" TargetMode="External"/><Relationship Id="rId85" Type="http://schemas.openxmlformats.org/officeDocument/2006/relationships/hyperlink" Target="https://en.wikipedia.org/wiki/Algeria" TargetMode="External"/><Relationship Id="rId150" Type="http://schemas.openxmlformats.org/officeDocument/2006/relationships/hyperlink" Target="https://en.wikipedia.org/wiki/Thomas_Aquinas" TargetMode="External"/><Relationship Id="rId155" Type="http://schemas.openxmlformats.org/officeDocument/2006/relationships/hyperlink" Target="https://en.wikipedia.org/wiki/Catholic_Church" TargetMode="External"/><Relationship Id="rId171" Type="http://schemas.openxmlformats.org/officeDocument/2006/relationships/hyperlink" Target="https://en.wikipedia.org/wiki/France" TargetMode="External"/><Relationship Id="rId176" Type="http://schemas.openxmlformats.org/officeDocument/2006/relationships/hyperlink" Target="https://en.wikipedia.org/wiki/Rashi" TargetMode="External"/><Relationship Id="rId12" Type="http://schemas.openxmlformats.org/officeDocument/2006/relationships/hyperlink" Target="https://en.wikipedia.org/wiki/Help:IPA_for_English" TargetMode="External"/><Relationship Id="rId17" Type="http://schemas.openxmlformats.org/officeDocument/2006/relationships/hyperlink" Target="https://en.wikipedia.org/wiki/Arianism" TargetMode="External"/><Relationship Id="rId33" Type="http://schemas.openxmlformats.org/officeDocument/2006/relationships/hyperlink" Target="https://en.wikipedia.org/wiki/Wikipedia:Citing_sources" TargetMode="External"/><Relationship Id="rId38" Type="http://schemas.openxmlformats.org/officeDocument/2006/relationships/hyperlink" Target="https://en.wikipedia.org/wiki/Latin" TargetMode="External"/><Relationship Id="rId59" Type="http://schemas.openxmlformats.org/officeDocument/2006/relationships/hyperlink" Target="https://en.wikipedia.org/wiki/Ambrose" TargetMode="External"/><Relationship Id="rId103" Type="http://schemas.openxmlformats.org/officeDocument/2006/relationships/hyperlink" Target="https://en.wikipedia.org/wiki/Grace_in_Christianity" TargetMode="External"/><Relationship Id="rId108" Type="http://schemas.openxmlformats.org/officeDocument/2006/relationships/hyperlink" Target="https://en.wikipedia.org/wiki/Catholicism" TargetMode="External"/><Relationship Id="rId124" Type="http://schemas.openxmlformats.org/officeDocument/2006/relationships/hyperlink" Target="https://en.wikipedia.org/wiki/Divine_grace" TargetMode="External"/><Relationship Id="rId129" Type="http://schemas.openxmlformats.org/officeDocument/2006/relationships/hyperlink" Target="https://en.wikipedia.org/wiki/Doctor_of_the_Church" TargetMode="External"/><Relationship Id="rId54" Type="http://schemas.openxmlformats.org/officeDocument/2006/relationships/hyperlink" Target="https://en.wikipedia.org/wiki/Ambrose" TargetMode="External"/><Relationship Id="rId70" Type="http://schemas.openxmlformats.org/officeDocument/2006/relationships/hyperlink" Target="https://en.wikipedia.org/wiki/Roman_Italy" TargetMode="External"/><Relationship Id="rId75" Type="http://schemas.openxmlformats.org/officeDocument/2006/relationships/hyperlink" Target="https://en.wikipedia.org/wiki/Latin" TargetMode="External"/><Relationship Id="rId91" Type="http://schemas.openxmlformats.org/officeDocument/2006/relationships/hyperlink" Target="https://en.wikipedia.org/wiki/Berber_people" TargetMode="External"/><Relationship Id="rId96" Type="http://schemas.openxmlformats.org/officeDocument/2006/relationships/hyperlink" Target="https://en.wikipedia.org/wiki/Augustine_of_Hippo" TargetMode="External"/><Relationship Id="rId140" Type="http://schemas.openxmlformats.org/officeDocument/2006/relationships/hyperlink" Target="https://en.wikipedia.org/wiki/Thomas_Aquinas" TargetMode="External"/><Relationship Id="rId145" Type="http://schemas.openxmlformats.org/officeDocument/2006/relationships/hyperlink" Target="https://en.wikipedia.org/wiki/Thomism" TargetMode="External"/><Relationship Id="rId161" Type="http://schemas.openxmlformats.org/officeDocument/2006/relationships/hyperlink" Target="https://en.wikipedia.org/wiki/Doctor_of_the_Church" TargetMode="External"/><Relationship Id="rId166" Type="http://schemas.openxmlformats.org/officeDocument/2006/relationships/hyperlink" Target="https://en.wikipedia.org/wiki/Bible" TargetMode="External"/><Relationship Id="rId182" Type="http://schemas.openxmlformats.org/officeDocument/2006/relationships/hyperlink" Target="https://en.wikipedia.org/wiki/Nicholas_of_Lyra" TargetMode="External"/><Relationship Id="rId187" Type="http://schemas.openxmlformats.org/officeDocument/2006/relationships/hyperlink" Target="https://en.wikipedia.org/wiki/Conversion_of_the_Jew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n.wikipedia.org/wiki/Patron_saint" TargetMode="External"/><Relationship Id="rId28" Type="http://schemas.openxmlformats.org/officeDocument/2006/relationships/hyperlink" Target="https://en.wikipedia.org/wiki/Ambrose" TargetMode="External"/><Relationship Id="rId49" Type="http://schemas.openxmlformats.org/officeDocument/2006/relationships/hyperlink" Target="https://en.wikipedia.org/wiki/Ethics" TargetMode="External"/><Relationship Id="rId114" Type="http://schemas.openxmlformats.org/officeDocument/2006/relationships/hyperlink" Target="https://en.wikipedia.org/wiki/Augustine_of_Hippo" TargetMode="External"/><Relationship Id="rId119" Type="http://schemas.openxmlformats.org/officeDocument/2006/relationships/hyperlink" Target="https://en.wikipedia.org/wiki/Augustine_of_Hippo" TargetMode="External"/><Relationship Id="rId44" Type="http://schemas.openxmlformats.org/officeDocument/2006/relationships/hyperlink" Target="https://en.wikipedia.org/wiki/Doctrine" TargetMode="External"/><Relationship Id="rId60" Type="http://schemas.openxmlformats.org/officeDocument/2006/relationships/hyperlink" Target="https://en.wikipedia.org/wiki/Help:IPA_for_English" TargetMode="External"/><Relationship Id="rId65" Type="http://schemas.openxmlformats.org/officeDocument/2006/relationships/hyperlink" Target="https://en.wikipedia.org/wiki/Doctor_of_the_Church" TargetMode="External"/><Relationship Id="rId81" Type="http://schemas.openxmlformats.org/officeDocument/2006/relationships/hyperlink" Target="https://en.wikipedia.org/wiki/Senatorial_class" TargetMode="External"/><Relationship Id="rId86" Type="http://schemas.openxmlformats.org/officeDocument/2006/relationships/hyperlink" Target="https://en.wikipedia.org/wiki/Africa_(Roman_province)" TargetMode="External"/><Relationship Id="rId130" Type="http://schemas.openxmlformats.org/officeDocument/2006/relationships/hyperlink" Target="https://en.wikipedia.org/wiki/Italians" TargetMode="External"/><Relationship Id="rId135" Type="http://schemas.openxmlformats.org/officeDocument/2006/relationships/hyperlink" Target="https://en.wikipedia.org/wiki/Priesthood_(Catholic_Church)" TargetMode="External"/><Relationship Id="rId151" Type="http://schemas.openxmlformats.org/officeDocument/2006/relationships/hyperlink" Target="https://en.wikipedia.org/wiki/Summa_Theologica" TargetMode="External"/><Relationship Id="rId156" Type="http://schemas.openxmlformats.org/officeDocument/2006/relationships/hyperlink" Target="https://en.wikipedia.org/wiki/Saint" TargetMode="External"/><Relationship Id="rId177" Type="http://schemas.openxmlformats.org/officeDocument/2006/relationships/hyperlink" Target="https://en.wikipedia.org/wiki/Rabbinic_literature" TargetMode="External"/><Relationship Id="rId172" Type="http://schemas.openxmlformats.org/officeDocument/2006/relationships/hyperlink" Target="https://en.wikipedia.org/wiki/Rome" TargetMode="External"/><Relationship Id="rId13" Type="http://schemas.openxmlformats.org/officeDocument/2006/relationships/hyperlink" Target="https://en.wikipedia.org/wiki/Roman_Catholic_Archdiocese_of_Milan" TargetMode="External"/><Relationship Id="rId18" Type="http://schemas.openxmlformats.org/officeDocument/2006/relationships/hyperlink" Target="https://en.wikipedia.org/wiki/Jew" TargetMode="External"/><Relationship Id="rId39" Type="http://schemas.openxmlformats.org/officeDocument/2006/relationships/hyperlink" Target="https://en.wikipedia.org/wiki/Doctor_of_the_Church" TargetMode="External"/><Relationship Id="rId109" Type="http://schemas.openxmlformats.org/officeDocument/2006/relationships/hyperlink" Target="https://en.wikipedia.org/wiki/New_Jerusalem" TargetMode="External"/><Relationship Id="rId34" Type="http://schemas.openxmlformats.org/officeDocument/2006/relationships/hyperlink" Target="https://en.wikipedia.org/w/index.php?title=Ambrose&amp;action=edit&amp;section=10" TargetMode="External"/><Relationship Id="rId50" Type="http://schemas.openxmlformats.org/officeDocument/2006/relationships/hyperlink" Target="https://en.wikipedia.org/wiki/Ambrose" TargetMode="External"/><Relationship Id="rId55" Type="http://schemas.openxmlformats.org/officeDocument/2006/relationships/hyperlink" Target="https://en.wikipedia.org/wiki/Origen" TargetMode="External"/><Relationship Id="rId76" Type="http://schemas.openxmlformats.org/officeDocument/2006/relationships/hyperlink" Target="https://en.wikipedia.org/wiki/Vulgate" TargetMode="External"/><Relationship Id="rId97" Type="http://schemas.openxmlformats.org/officeDocument/2006/relationships/hyperlink" Target="https://en.wikipedia.org/wiki/Jerome" TargetMode="External"/><Relationship Id="rId104" Type="http://schemas.openxmlformats.org/officeDocument/2006/relationships/hyperlink" Target="https://en.wikipedia.org/wiki/Original_sin" TargetMode="External"/><Relationship Id="rId120" Type="http://schemas.openxmlformats.org/officeDocument/2006/relationships/hyperlink" Target="https://en.wikipedia.org/wiki/Protestantism" TargetMode="External"/><Relationship Id="rId125" Type="http://schemas.openxmlformats.org/officeDocument/2006/relationships/hyperlink" Target="https://en.wikipedia.org/wiki/Wikipedia:Citation_needed" TargetMode="External"/><Relationship Id="rId141" Type="http://schemas.openxmlformats.org/officeDocument/2006/relationships/hyperlink" Target="https://en.wikipedia.org/wiki/Aquino,_Italy" TargetMode="External"/><Relationship Id="rId146" Type="http://schemas.openxmlformats.org/officeDocument/2006/relationships/hyperlink" Target="https://en.wikipedia.org/wiki/Modern_philosophy" TargetMode="External"/><Relationship Id="rId167" Type="http://schemas.openxmlformats.org/officeDocument/2006/relationships/hyperlink" Target="https://en.wikipedia.org/wiki/Exegesis" TargetMode="External"/><Relationship Id="rId188" Type="http://schemas.openxmlformats.org/officeDocument/2006/relationships/hyperlink" Target="https://en.wikipedia.org/wiki/Martin_Luther" TargetMode="External"/><Relationship Id="rId7" Type="http://schemas.openxmlformats.org/officeDocument/2006/relationships/endnotes" Target="endnotes.xml"/><Relationship Id="rId71" Type="http://schemas.openxmlformats.org/officeDocument/2006/relationships/hyperlink" Target="https://en.wikipedia.org/wiki/Jerome" TargetMode="External"/><Relationship Id="rId92" Type="http://schemas.openxmlformats.org/officeDocument/2006/relationships/hyperlink" Target="https://en.wikipedia.org/wiki/Latins_(Italic_tribe)" TargetMode="External"/><Relationship Id="rId162" Type="http://schemas.openxmlformats.org/officeDocument/2006/relationships/hyperlink" Target="https://en.wikipedia.org/wiki/Pope_Benedict_XV" TargetMode="External"/><Relationship Id="rId183" Type="http://schemas.openxmlformats.org/officeDocument/2006/relationships/hyperlink" Target="https://en.wikipedia.org/wiki/Table_Talk_(Luther)" TargetMode="External"/><Relationship Id="rId2" Type="http://schemas.openxmlformats.org/officeDocument/2006/relationships/numbering" Target="numbering.xml"/><Relationship Id="rId29" Type="http://schemas.openxmlformats.org/officeDocument/2006/relationships/hyperlink" Target="https://en.wikipedia.org/wiki/Ambrose" TargetMode="External"/><Relationship Id="rId24" Type="http://schemas.openxmlformats.org/officeDocument/2006/relationships/hyperlink" Target="https://en.wikipedia.org/wiki/St._Augustine" TargetMode="External"/><Relationship Id="rId40" Type="http://schemas.openxmlformats.org/officeDocument/2006/relationships/hyperlink" Target="https://en.wikipedia.org/wiki/Hilary_of_Poitiers" TargetMode="External"/><Relationship Id="rId45" Type="http://schemas.openxmlformats.org/officeDocument/2006/relationships/hyperlink" Target="https://en.wikipedia.org/wiki/Sacerdotal" TargetMode="External"/><Relationship Id="rId66" Type="http://schemas.openxmlformats.org/officeDocument/2006/relationships/hyperlink" Target="https://en.wikipedia.org/wiki/Stridon" TargetMode="External"/><Relationship Id="rId87" Type="http://schemas.openxmlformats.org/officeDocument/2006/relationships/hyperlink" Target="https://en.wikipedia.org/wiki/Augustine_of_Hippo" TargetMode="External"/><Relationship Id="rId110" Type="http://schemas.openxmlformats.org/officeDocument/2006/relationships/hyperlink" Target="https://en.wikipedia.org/wiki/Augustine_of_Hippo" TargetMode="External"/><Relationship Id="rId115" Type="http://schemas.openxmlformats.org/officeDocument/2006/relationships/hyperlink" Target="https://en.wikipedia.org/wiki/Anglican_Communion" TargetMode="External"/><Relationship Id="rId131" Type="http://schemas.openxmlformats.org/officeDocument/2006/relationships/hyperlink" Target="https://en.wikipedia.org/wiki/Thomas_Aquinas" TargetMode="External"/><Relationship Id="rId136" Type="http://schemas.openxmlformats.org/officeDocument/2006/relationships/hyperlink" Target="https://en.wikipedia.org/wiki/Philosopher" TargetMode="External"/><Relationship Id="rId157" Type="http://schemas.openxmlformats.org/officeDocument/2006/relationships/hyperlink" Target="https://en.wikipedia.org/wiki/Philosophy" TargetMode="External"/><Relationship Id="rId178" Type="http://schemas.openxmlformats.org/officeDocument/2006/relationships/hyperlink" Target="https://en.wikipedia.org/wiki/Raymond_Martini" TargetMode="External"/><Relationship Id="rId61" Type="http://schemas.openxmlformats.org/officeDocument/2006/relationships/hyperlink" Target="https://en.wikipedia.org/wiki/Latin_language" TargetMode="External"/><Relationship Id="rId82" Type="http://schemas.openxmlformats.org/officeDocument/2006/relationships/hyperlink" Target="http://ixoyc.net/data/fathers/619.pdf" TargetMode="External"/><Relationship Id="rId152" Type="http://schemas.openxmlformats.org/officeDocument/2006/relationships/hyperlink" Target="https://en.wikipedia.org/wiki/Summa_contra_Gentiles" TargetMode="External"/><Relationship Id="rId173" Type="http://schemas.openxmlformats.org/officeDocument/2006/relationships/hyperlink" Target="https://en.wikipedia.org/wiki/Venice" TargetMode="External"/><Relationship Id="rId19" Type="http://schemas.openxmlformats.org/officeDocument/2006/relationships/hyperlink" Target="https://en.wikipedia.org/wiki/Pagan" TargetMode="External"/><Relationship Id="rId14" Type="http://schemas.openxmlformats.org/officeDocument/2006/relationships/hyperlink" Target="https://en.wikipedia.org/wiki/Consular_prefect" TargetMode="External"/><Relationship Id="rId30" Type="http://schemas.openxmlformats.org/officeDocument/2006/relationships/hyperlink" Target="https://en.wikipedia.org/wiki/Ambrose" TargetMode="External"/><Relationship Id="rId35" Type="http://schemas.openxmlformats.org/officeDocument/2006/relationships/hyperlink" Target="https://en.wikipedia.org/wiki/Augustine_of_Hippo" TargetMode="External"/><Relationship Id="rId56" Type="http://schemas.openxmlformats.org/officeDocument/2006/relationships/hyperlink" Target="https://en.wikipedia.org/wiki/Didymus_the_Blind" TargetMode="External"/><Relationship Id="rId77" Type="http://schemas.openxmlformats.org/officeDocument/2006/relationships/hyperlink" Target="https://en.wikipedia.org/wiki/Gospels" TargetMode="External"/><Relationship Id="rId100" Type="http://schemas.openxmlformats.org/officeDocument/2006/relationships/hyperlink" Target="https://en.wikipedia.org/wiki/Neo-Platonism" TargetMode="External"/><Relationship Id="rId105" Type="http://schemas.openxmlformats.org/officeDocument/2006/relationships/hyperlink" Target="https://en.wikipedia.org/wiki/Just_war_theory" TargetMode="External"/><Relationship Id="rId126" Type="http://schemas.openxmlformats.org/officeDocument/2006/relationships/hyperlink" Target="https://en.wikipedia.org/wiki/Member_of_the_Order_of_Preachers" TargetMode="External"/><Relationship Id="rId147" Type="http://schemas.openxmlformats.org/officeDocument/2006/relationships/hyperlink" Target="https://en.wikipedia.org/wiki/Natural_law" TargetMode="External"/><Relationship Id="rId168" Type="http://schemas.openxmlformats.org/officeDocument/2006/relationships/hyperlink" Target="https://en.wikipedia.org/wiki/Middle_Ages" TargetMode="External"/><Relationship Id="rId8" Type="http://schemas.openxmlformats.org/officeDocument/2006/relationships/hyperlink" Target="http://www.postost.net/2011/05/history-biblical-interpretation-tale-two-cities" TargetMode="External"/><Relationship Id="rId51" Type="http://schemas.openxmlformats.org/officeDocument/2006/relationships/hyperlink" Target="https://en.wikipedia.org/wiki/Ambrose" TargetMode="External"/><Relationship Id="rId72" Type="http://schemas.openxmlformats.org/officeDocument/2006/relationships/hyperlink" Target="https://en.wikipedia.org/wiki/Jerome" TargetMode="External"/><Relationship Id="rId93" Type="http://schemas.openxmlformats.org/officeDocument/2006/relationships/hyperlink" Target="https://en.wikipedia.org/wiki/Phoenicia" TargetMode="External"/><Relationship Id="rId98" Type="http://schemas.openxmlformats.org/officeDocument/2006/relationships/hyperlink" Target="https://en.wikipedia.org/wiki/Augustine_of_Hippo" TargetMode="External"/><Relationship Id="rId121" Type="http://schemas.openxmlformats.org/officeDocument/2006/relationships/hyperlink" Target="https://en.wikipedia.org/wiki/Calvinism" TargetMode="External"/><Relationship Id="rId142" Type="http://schemas.openxmlformats.org/officeDocument/2006/relationships/hyperlink" Target="https://en.wikipedia.org/wiki/Lazio" TargetMode="External"/><Relationship Id="rId163" Type="http://schemas.openxmlformats.org/officeDocument/2006/relationships/hyperlink" Target="https://en.wikipedia.org/wiki/Nicholas_of_Lyra" TargetMode="External"/><Relationship Id="rId184" Type="http://schemas.openxmlformats.org/officeDocument/2006/relationships/hyperlink" Target="https://en.wikipedia.org/wiki/Nicholas_of_Lyra" TargetMode="External"/><Relationship Id="rId189" Type="http://schemas.openxmlformats.org/officeDocument/2006/relationships/hyperlink" Target="https://en.wikipedia.org/wiki/On_the_Jews_and_Their_Lies_(Martin_Luther)" TargetMode="External"/><Relationship Id="rId3" Type="http://schemas.openxmlformats.org/officeDocument/2006/relationships/styles" Target="styles.xml"/><Relationship Id="rId25" Type="http://schemas.openxmlformats.org/officeDocument/2006/relationships/hyperlink" Target="https://en.wikipedia.org/wiki/Roman_Empire" TargetMode="External"/><Relationship Id="rId46" Type="http://schemas.openxmlformats.org/officeDocument/2006/relationships/hyperlink" Target="https://en.wikipedia.org/wiki/Asceticism" TargetMode="External"/><Relationship Id="rId67" Type="http://schemas.openxmlformats.org/officeDocument/2006/relationships/hyperlink" Target="https://en.wikipedia.org/wiki/Emona" TargetMode="External"/><Relationship Id="rId116" Type="http://schemas.openxmlformats.org/officeDocument/2006/relationships/hyperlink" Target="https://en.wikipedia.org/wiki/Doctor_of_the_Church" TargetMode="External"/><Relationship Id="rId137" Type="http://schemas.openxmlformats.org/officeDocument/2006/relationships/hyperlink" Target="https://en.wikipedia.org/wiki/Theologian" TargetMode="External"/><Relationship Id="rId158" Type="http://schemas.openxmlformats.org/officeDocument/2006/relationships/hyperlink" Target="https://en.wikipedia.org/wiki/Theology" TargetMode="External"/><Relationship Id="rId20" Type="http://schemas.openxmlformats.org/officeDocument/2006/relationships/hyperlink" Target="https://en.wikipedia.org/wiki/Veni_redemptor_gentium" TargetMode="External"/><Relationship Id="rId41" Type="http://schemas.openxmlformats.org/officeDocument/2006/relationships/hyperlink" Target="https://en.wikipedia.org/wiki/Theology" TargetMode="External"/><Relationship Id="rId62" Type="http://schemas.openxmlformats.org/officeDocument/2006/relationships/hyperlink" Target="https://en.wikipedia.org/wiki/Greek_language" TargetMode="External"/><Relationship Id="rId83" Type="http://schemas.openxmlformats.org/officeDocument/2006/relationships/hyperlink" Target="https://en.wikipedia.org/wiki/Municipium" TargetMode="External"/><Relationship Id="rId88" Type="http://schemas.openxmlformats.org/officeDocument/2006/relationships/hyperlink" Target="https://en.wikipedia.org/wiki/Augustine_of_Hippo" TargetMode="External"/><Relationship Id="rId111" Type="http://schemas.openxmlformats.org/officeDocument/2006/relationships/hyperlink" Target="https://en.wikipedia.org/wiki/Trinity" TargetMode="External"/><Relationship Id="rId132" Type="http://schemas.openxmlformats.org/officeDocument/2006/relationships/hyperlink" Target="https://en.wikipedia.org/wiki/Thomas_Aquinas" TargetMode="External"/><Relationship Id="rId153" Type="http://schemas.openxmlformats.org/officeDocument/2006/relationships/hyperlink" Target="https://en.wikipedia.org/wiki/Scripture" TargetMode="External"/><Relationship Id="rId174" Type="http://schemas.openxmlformats.org/officeDocument/2006/relationships/hyperlink" Target="https://en.wikipedia.org/wiki/Basel" TargetMode="External"/><Relationship Id="rId179" Type="http://schemas.openxmlformats.org/officeDocument/2006/relationships/hyperlink" Target="https://en.wikipedia.org/wiki/Thomas_Aquinas" TargetMode="External"/><Relationship Id="rId190" Type="http://schemas.openxmlformats.org/officeDocument/2006/relationships/fontTable" Target="fontTable.xml"/><Relationship Id="rId15" Type="http://schemas.openxmlformats.org/officeDocument/2006/relationships/hyperlink" Target="https://en.wikipedia.org/wiki/Liguria" TargetMode="External"/><Relationship Id="rId36" Type="http://schemas.openxmlformats.org/officeDocument/2006/relationships/hyperlink" Target="https://en.wikipedia.org/wiki/Jerome" TargetMode="External"/><Relationship Id="rId57" Type="http://schemas.openxmlformats.org/officeDocument/2006/relationships/hyperlink" Target="https://en.wikipedia.org/wiki/Ambrose" TargetMode="External"/><Relationship Id="rId106" Type="http://schemas.openxmlformats.org/officeDocument/2006/relationships/hyperlink" Target="https://en.wikipedia.org/wiki/Western_Roman_Empire" TargetMode="External"/><Relationship Id="rId127" Type="http://schemas.openxmlformats.org/officeDocument/2006/relationships/hyperlink" Target="https://en.wikipedia.org/wiki/Latin_language" TargetMode="External"/><Relationship Id="rId10" Type="http://schemas.openxmlformats.org/officeDocument/2006/relationships/hyperlink" Target="http://repository.up.ac.za/handle/2263/26944" TargetMode="External"/><Relationship Id="rId31" Type="http://schemas.openxmlformats.org/officeDocument/2006/relationships/hyperlink" Target="https://en.wikipedia.org/wiki/Praetorian_prefecture_of_Gaul" TargetMode="External"/><Relationship Id="rId52" Type="http://schemas.openxmlformats.org/officeDocument/2006/relationships/hyperlink" Target="https://en.wiktionary.org/wiki/when_in_Rome,_do_as_the_Romans_do" TargetMode="External"/><Relationship Id="rId73" Type="http://schemas.openxmlformats.org/officeDocument/2006/relationships/hyperlink" Target="https://en.wikipedia.org/wiki/Jerome" TargetMode="External"/><Relationship Id="rId78" Type="http://schemas.openxmlformats.org/officeDocument/2006/relationships/hyperlink" Target="https://en.wikipedia.org/wiki/Jerome" TargetMode="External"/><Relationship Id="rId94" Type="http://schemas.openxmlformats.org/officeDocument/2006/relationships/hyperlink" Target="https://en.wikipedia.org/wiki/Augustine_of_Hippo" TargetMode="External"/><Relationship Id="rId99" Type="http://schemas.openxmlformats.org/officeDocument/2006/relationships/hyperlink" Target="https://en.wikipedia.org/wiki/Manichaeism" TargetMode="External"/><Relationship Id="rId101" Type="http://schemas.openxmlformats.org/officeDocument/2006/relationships/hyperlink" Target="https://en.wikipedia.org/wiki/Plotinus" TargetMode="External"/><Relationship Id="rId122" Type="http://schemas.openxmlformats.org/officeDocument/2006/relationships/hyperlink" Target="https://en.wikipedia.org/wiki/Protestant_Reformation" TargetMode="External"/><Relationship Id="rId143" Type="http://schemas.openxmlformats.org/officeDocument/2006/relationships/hyperlink" Target="https://en.wikipedia.org/wiki/Wikipedia:Citation_needed" TargetMode="External"/><Relationship Id="rId148" Type="http://schemas.openxmlformats.org/officeDocument/2006/relationships/hyperlink" Target="https://en.wikipedia.org/wiki/Thomas_Aquinas" TargetMode="External"/><Relationship Id="rId164" Type="http://schemas.openxmlformats.org/officeDocument/2006/relationships/hyperlink" Target="https://en.wikipedia.org/wiki/French_language" TargetMode="External"/><Relationship Id="rId169" Type="http://schemas.openxmlformats.org/officeDocument/2006/relationships/hyperlink" Target="https://en.wikipedia.org/wiki/Nicholas_of_Lyra" TargetMode="External"/><Relationship Id="rId185" Type="http://schemas.openxmlformats.org/officeDocument/2006/relationships/hyperlink" Target="https://en.wikipedia.org/wiki/La_Vieille-Lyre" TargetMode="External"/><Relationship Id="rId4" Type="http://schemas.openxmlformats.org/officeDocument/2006/relationships/settings" Target="settings.xml"/><Relationship Id="rId9" Type="http://schemas.openxmlformats.org/officeDocument/2006/relationships/image" Target="media/image1.jpeg"/><Relationship Id="rId180" Type="http://schemas.openxmlformats.org/officeDocument/2006/relationships/hyperlink" Target="https://en.wikipedia.org/wiki/Martin_Luther"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en.wikipedia.org/wiki/Godhead_(Christianity)" TargetMode="External"/><Relationship Id="rId18" Type="http://schemas.openxmlformats.org/officeDocument/2006/relationships/hyperlink" Target="https://en.wikipedia.org/wiki/Homoousian" TargetMode="External"/><Relationship Id="rId26" Type="http://schemas.openxmlformats.org/officeDocument/2006/relationships/hyperlink" Target="https://en.wikipedia.org/wiki/Coptic_Church" TargetMode="External"/><Relationship Id="rId39" Type="http://schemas.openxmlformats.org/officeDocument/2006/relationships/hyperlink" Target="https://en.wikipedia.org/wiki/Help:IPA_for_English" TargetMode="External"/><Relationship Id="rId21" Type="http://schemas.openxmlformats.org/officeDocument/2006/relationships/hyperlink" Target="https://en.wiktionary.org/wiki/si_fueris_Romae,_Romano_vivito_more;_si_fueris_alibi,_vivito_sicut_ibi" TargetMode="External"/><Relationship Id="rId34" Type="http://schemas.openxmlformats.org/officeDocument/2006/relationships/hyperlink" Target="https://en.wikipedia.org/wiki/Origen" TargetMode="External"/><Relationship Id="rId42" Type="http://schemas.openxmlformats.org/officeDocument/2006/relationships/hyperlink" Target="https://en.wikipedia.org/wiki/Chinese_language" TargetMode="External"/><Relationship Id="rId47" Type="http://schemas.openxmlformats.org/officeDocument/2006/relationships/hyperlink" Target="https://en.wiktionary.org/wiki/M%C3%B3" TargetMode="External"/><Relationship Id="rId50" Type="http://schemas.openxmlformats.org/officeDocument/2006/relationships/hyperlink" Target="https://en.wikipedia.org/wiki/Religion" TargetMode="External"/><Relationship Id="rId55" Type="http://schemas.openxmlformats.org/officeDocument/2006/relationships/hyperlink" Target="https://en.wikipedia.org/wiki/Persian_language" TargetMode="External"/><Relationship Id="rId63" Type="http://schemas.openxmlformats.org/officeDocument/2006/relationships/hyperlink" Target="https://en.wikipedia.org/wiki/Goodness_and_value_theory" TargetMode="External"/><Relationship Id="rId68" Type="http://schemas.openxmlformats.org/officeDocument/2006/relationships/hyperlink" Target="https://en.wikipedia.org/wiki/Hebrew_language" TargetMode="External"/><Relationship Id="rId76" Type="http://schemas.openxmlformats.org/officeDocument/2006/relationships/hyperlink" Target="https://en.wikipedia.org/wiki/Acronym" TargetMode="External"/><Relationship Id="rId84" Type="http://schemas.openxmlformats.org/officeDocument/2006/relationships/hyperlink" Target="https://en.wikipedia.org/wiki/Hebrew_language" TargetMode="External"/><Relationship Id="rId89" Type="http://schemas.openxmlformats.org/officeDocument/2006/relationships/hyperlink" Target="https://en.wikipedia.org/wiki/Jewish_commentaries_on_the_Bible" TargetMode="External"/><Relationship Id="rId7" Type="http://schemas.openxmlformats.org/officeDocument/2006/relationships/hyperlink" Target="https://en.wikipedia.org/wiki/Ancient_Libya" TargetMode="External"/><Relationship Id="rId71" Type="http://schemas.openxmlformats.org/officeDocument/2006/relationships/hyperlink" Target="https://en.wikipedia.org/wiki/Rabbi" TargetMode="External"/><Relationship Id="rId92" Type="http://schemas.openxmlformats.org/officeDocument/2006/relationships/hyperlink" Target="https://en.wikipedia.org/wiki/Rashi" TargetMode="External"/><Relationship Id="rId2" Type="http://schemas.openxmlformats.org/officeDocument/2006/relationships/hyperlink" Target="https://en.wikipedia.org/wiki/Berber_languages" TargetMode="External"/><Relationship Id="rId16" Type="http://schemas.openxmlformats.org/officeDocument/2006/relationships/hyperlink" Target="https://en.wikipedia.org/wiki/Nontrinitarianism" TargetMode="External"/><Relationship Id="rId29" Type="http://schemas.openxmlformats.org/officeDocument/2006/relationships/hyperlink" Target="https://en.wikipedia.org/wiki/Dialectics" TargetMode="External"/><Relationship Id="rId11" Type="http://schemas.openxmlformats.org/officeDocument/2006/relationships/hyperlink" Target="https://en.wikipedia.org/wiki/Baucalis" TargetMode="External"/><Relationship Id="rId24" Type="http://schemas.openxmlformats.org/officeDocument/2006/relationships/hyperlink" Target="https://en.wikipedia.org/wiki/Christian" TargetMode="External"/><Relationship Id="rId32" Type="http://schemas.openxmlformats.org/officeDocument/2006/relationships/hyperlink" Target="https://en.wikipedia.org/wiki/Jerome" TargetMode="External"/><Relationship Id="rId37" Type="http://schemas.openxmlformats.org/officeDocument/2006/relationships/hyperlink" Target="https://en.wikipedia.org/wiki/Didymus_the_Blind" TargetMode="External"/><Relationship Id="rId40" Type="http://schemas.openxmlformats.org/officeDocument/2006/relationships/hyperlink" Target="https://en.wikipedia.org/wiki/Manichaeism" TargetMode="External"/><Relationship Id="rId45" Type="http://schemas.openxmlformats.org/officeDocument/2006/relationships/hyperlink" Target="https://en.wiktionary.org/wiki/%E6%95%99" TargetMode="External"/><Relationship Id="rId53" Type="http://schemas.openxmlformats.org/officeDocument/2006/relationships/hyperlink" Target="https://en.wikipedia.org/wiki/Prophet" TargetMode="External"/><Relationship Id="rId58" Type="http://schemas.openxmlformats.org/officeDocument/2006/relationships/hyperlink" Target="https://en.wikipedia.org/wiki/Sasanian_Empire" TargetMode="External"/><Relationship Id="rId66" Type="http://schemas.openxmlformats.org/officeDocument/2006/relationships/hyperlink" Target="https://en.wikipedia.org/wiki/Gnostic" TargetMode="External"/><Relationship Id="rId74" Type="http://schemas.openxmlformats.org/officeDocument/2006/relationships/hyperlink" Target="https://en.wikipedia.org/wiki/Hebrew_language" TargetMode="External"/><Relationship Id="rId79" Type="http://schemas.openxmlformats.org/officeDocument/2006/relationships/hyperlink" Target="https://en.wikipedia.org/wiki/Jewish_commentaries_on_the_Bible" TargetMode="External"/><Relationship Id="rId87" Type="http://schemas.openxmlformats.org/officeDocument/2006/relationships/hyperlink" Target="https://en.wikipedia.org/wiki/Rabbi" TargetMode="External"/><Relationship Id="rId5" Type="http://schemas.openxmlformats.org/officeDocument/2006/relationships/hyperlink" Target="https://en.wikipedia.org/wiki/Presbyter" TargetMode="External"/><Relationship Id="rId61" Type="http://schemas.openxmlformats.org/officeDocument/2006/relationships/hyperlink" Target="https://en.wikipedia.org/wiki/Dualistic_cosmology" TargetMode="External"/><Relationship Id="rId82" Type="http://schemas.openxmlformats.org/officeDocument/2006/relationships/hyperlink" Target="https://en.wikipedia.org/wiki/Joseph_Kimhi" TargetMode="External"/><Relationship Id="rId90" Type="http://schemas.openxmlformats.org/officeDocument/2006/relationships/hyperlink" Target="https://en.wikipedia.org/wiki/Daniel_Bomberg" TargetMode="External"/><Relationship Id="rId19" Type="http://schemas.openxmlformats.org/officeDocument/2006/relationships/hyperlink" Target="https://en.wikipedia.org/wiki/First_Council_of_Nicea" TargetMode="External"/><Relationship Id="rId14" Type="http://schemas.openxmlformats.org/officeDocument/2006/relationships/hyperlink" Target="https://en.wikipedia.org/wiki/Subordinationism" TargetMode="External"/><Relationship Id="rId22" Type="http://schemas.openxmlformats.org/officeDocument/2006/relationships/hyperlink" Target="https://en.wikipedia.org/wiki/Saint_Ambrose" TargetMode="External"/><Relationship Id="rId27" Type="http://schemas.openxmlformats.org/officeDocument/2006/relationships/hyperlink" Target="https://en.wikipedia.org/wiki/Alexandria" TargetMode="External"/><Relationship Id="rId30" Type="http://schemas.openxmlformats.org/officeDocument/2006/relationships/hyperlink" Target="https://en.wikipedia.org/wiki/Arians" TargetMode="External"/><Relationship Id="rId35" Type="http://schemas.openxmlformats.org/officeDocument/2006/relationships/hyperlink" Target="https://en.wikipedia.org/wiki/Arian" TargetMode="External"/><Relationship Id="rId43" Type="http://schemas.openxmlformats.org/officeDocument/2006/relationships/hyperlink" Target="https://en.wiktionary.org/wiki/%E6%91%A9" TargetMode="External"/><Relationship Id="rId48" Type="http://schemas.openxmlformats.org/officeDocument/2006/relationships/hyperlink" Target="https://en.wiktionary.org/wiki/n%C3%AD" TargetMode="External"/><Relationship Id="rId56" Type="http://schemas.openxmlformats.org/officeDocument/2006/relationships/hyperlink" Target="https://en.wikipedia.org/wiki/Syriac_language" TargetMode="External"/><Relationship Id="rId64" Type="http://schemas.openxmlformats.org/officeDocument/2006/relationships/hyperlink" Target="https://en.wikipedia.org/wiki/Evil" TargetMode="External"/><Relationship Id="rId69" Type="http://schemas.openxmlformats.org/officeDocument/2006/relationships/hyperlink" Target="https://en.wikipedia.org/wiki/Latin" TargetMode="External"/><Relationship Id="rId77" Type="http://schemas.openxmlformats.org/officeDocument/2006/relationships/hyperlink" Target="https://en.wikipedia.org/wiki/Medieval" TargetMode="External"/><Relationship Id="rId8" Type="http://schemas.openxmlformats.org/officeDocument/2006/relationships/hyperlink" Target="https://en.wikipedia.org/wiki/Berbers" TargetMode="External"/><Relationship Id="rId51" Type="http://schemas.openxmlformats.org/officeDocument/2006/relationships/hyperlink" Target="https://en.wikipedia.org/wiki/Iranian_peoples" TargetMode="External"/><Relationship Id="rId72" Type="http://schemas.openxmlformats.org/officeDocument/2006/relationships/hyperlink" Target="https://en.wikipedia.org/wiki/Talmud" TargetMode="External"/><Relationship Id="rId80" Type="http://schemas.openxmlformats.org/officeDocument/2006/relationships/hyperlink" Target="https://en.wikipedia.org/wiki/Narbonne" TargetMode="External"/><Relationship Id="rId85" Type="http://schemas.openxmlformats.org/officeDocument/2006/relationships/hyperlink" Target="https://en.wikipedia.org/wiki/Latin" TargetMode="External"/><Relationship Id="rId93" Type="http://schemas.openxmlformats.org/officeDocument/2006/relationships/hyperlink" Target="https://en.wikipedia.org/wiki/Rashi" TargetMode="External"/><Relationship Id="rId3" Type="http://schemas.openxmlformats.org/officeDocument/2006/relationships/hyperlink" Target="https://en.wikipedia.org/wiki/Ancient_Greek" TargetMode="External"/><Relationship Id="rId12" Type="http://schemas.openxmlformats.org/officeDocument/2006/relationships/hyperlink" Target="https://en.wikipedia.org/wiki/Arius" TargetMode="External"/><Relationship Id="rId17" Type="http://schemas.openxmlformats.org/officeDocument/2006/relationships/hyperlink" Target="https://en.wikipedia.org/wiki/Christology" TargetMode="External"/><Relationship Id="rId25" Type="http://schemas.openxmlformats.org/officeDocument/2006/relationships/hyperlink" Target="https://en.wikipedia.org/wiki/Theologian" TargetMode="External"/><Relationship Id="rId33" Type="http://schemas.openxmlformats.org/officeDocument/2006/relationships/hyperlink" Target="https://en.wikipedia.org/wiki/Didymus_the_Blind" TargetMode="External"/><Relationship Id="rId38" Type="http://schemas.openxmlformats.org/officeDocument/2006/relationships/hyperlink" Target="https://en.wikipedia.org/wiki/Didymus_the_Blind" TargetMode="External"/><Relationship Id="rId46" Type="http://schemas.openxmlformats.org/officeDocument/2006/relationships/hyperlink" Target="https://en.wikipedia.org/wiki/Pinyin" TargetMode="External"/><Relationship Id="rId59" Type="http://schemas.openxmlformats.org/officeDocument/2006/relationships/hyperlink" Target="https://en.wikipedia.org/wiki/Manichaeism" TargetMode="External"/><Relationship Id="rId67" Type="http://schemas.openxmlformats.org/officeDocument/2006/relationships/hyperlink" Target="https://en.wikipedia.org/wiki/Manichaeism" TargetMode="External"/><Relationship Id="rId20" Type="http://schemas.openxmlformats.org/officeDocument/2006/relationships/hyperlink" Target="https://en.wikipedia.org/wiki/Constantine_I" TargetMode="External"/><Relationship Id="rId41" Type="http://schemas.openxmlformats.org/officeDocument/2006/relationships/hyperlink" Target="https://en.wikipedia.org/wiki/Modern_Persian" TargetMode="External"/><Relationship Id="rId54" Type="http://schemas.openxmlformats.org/officeDocument/2006/relationships/hyperlink" Target="https://en.wikipedia.org/wiki/Mani_(prophet)" TargetMode="External"/><Relationship Id="rId62" Type="http://schemas.openxmlformats.org/officeDocument/2006/relationships/hyperlink" Target="https://en.wikipedia.org/wiki/Conflict_between_good_and_evil" TargetMode="External"/><Relationship Id="rId70" Type="http://schemas.openxmlformats.org/officeDocument/2006/relationships/hyperlink" Target="https://en.wikipedia.org/wiki/France_in_the_Middle_Ages" TargetMode="External"/><Relationship Id="rId75" Type="http://schemas.openxmlformats.org/officeDocument/2006/relationships/hyperlink" Target="https://en.wikipedia.org/wiki/Hebrew_language" TargetMode="External"/><Relationship Id="rId83" Type="http://schemas.openxmlformats.org/officeDocument/2006/relationships/hyperlink" Target="https://en.wikipedia.org/wiki/Moses_Kimhi" TargetMode="External"/><Relationship Id="rId88" Type="http://schemas.openxmlformats.org/officeDocument/2006/relationships/hyperlink" Target="https://en.wikipedia.org/wiki/Talmud" TargetMode="External"/><Relationship Id="rId91" Type="http://schemas.openxmlformats.org/officeDocument/2006/relationships/hyperlink" Target="https://en.wikipedia.org/wiki/Chumash_(Judaism)" TargetMode="External"/><Relationship Id="rId1" Type="http://schemas.openxmlformats.org/officeDocument/2006/relationships/hyperlink" Target="https://en.wikipedia.org/wiki/Arius" TargetMode="External"/><Relationship Id="rId6" Type="http://schemas.openxmlformats.org/officeDocument/2006/relationships/hyperlink" Target="https://en.wikipedia.org/wiki/Ascetic" TargetMode="External"/><Relationship Id="rId15" Type="http://schemas.openxmlformats.org/officeDocument/2006/relationships/hyperlink" Target="https://en.wikipedia.org/wiki/Arius" TargetMode="External"/><Relationship Id="rId23" Type="http://schemas.openxmlformats.org/officeDocument/2006/relationships/hyperlink" Target="https://en.wikipedia.org/wiki/Didymus_the_Blind" TargetMode="External"/><Relationship Id="rId28" Type="http://schemas.openxmlformats.org/officeDocument/2006/relationships/hyperlink" Target="https://en.wikipedia.org/wiki/Catechetical_School_of_Alexandria" TargetMode="External"/><Relationship Id="rId36" Type="http://schemas.openxmlformats.org/officeDocument/2006/relationships/hyperlink" Target="https://en.wikipedia.org/wiki/Pneumatomachi" TargetMode="External"/><Relationship Id="rId49" Type="http://schemas.openxmlformats.org/officeDocument/2006/relationships/hyperlink" Target="https://en.wiktionary.org/wiki/Ji%C3%A0o" TargetMode="External"/><Relationship Id="rId57" Type="http://schemas.openxmlformats.org/officeDocument/2006/relationships/hyperlink" Target="https://en.wikipedia.org/wiki/Latin" TargetMode="External"/><Relationship Id="rId10" Type="http://schemas.openxmlformats.org/officeDocument/2006/relationships/hyperlink" Target="https://en.wikipedia.org/wiki/Alexandria,_Egypt" TargetMode="External"/><Relationship Id="rId31" Type="http://schemas.openxmlformats.org/officeDocument/2006/relationships/hyperlink" Target="https://en.wikipedia.org/wiki/Holy_Spirit" TargetMode="External"/><Relationship Id="rId44" Type="http://schemas.openxmlformats.org/officeDocument/2006/relationships/hyperlink" Target="https://en.wiktionary.org/wiki/%E5%B0%BC" TargetMode="External"/><Relationship Id="rId52" Type="http://schemas.openxmlformats.org/officeDocument/2006/relationships/hyperlink" Target="https://en.wikipedia.org/wiki/Manichaeism" TargetMode="External"/><Relationship Id="rId60" Type="http://schemas.openxmlformats.org/officeDocument/2006/relationships/hyperlink" Target="https://en.wikipedia.org/wiki/Manichaeism" TargetMode="External"/><Relationship Id="rId65" Type="http://schemas.openxmlformats.org/officeDocument/2006/relationships/hyperlink" Target="https://en.wikipedia.org/wiki/Mesopotamian" TargetMode="External"/><Relationship Id="rId73" Type="http://schemas.openxmlformats.org/officeDocument/2006/relationships/hyperlink" Target="https://en.wikipedia.org/wiki/Jewish_commentaries_on_the_Bible" TargetMode="External"/><Relationship Id="rId78" Type="http://schemas.openxmlformats.org/officeDocument/2006/relationships/hyperlink" Target="https://en.wikipedia.org/wiki/Rabbi" TargetMode="External"/><Relationship Id="rId81" Type="http://schemas.openxmlformats.org/officeDocument/2006/relationships/hyperlink" Target="https://en.wikipedia.org/wiki/Hachmei_Provence" TargetMode="External"/><Relationship Id="rId86" Type="http://schemas.openxmlformats.org/officeDocument/2006/relationships/hyperlink" Target="https://en.wikipedia.org/wiki/France_in_the_Middle_Ages" TargetMode="External"/><Relationship Id="rId4" Type="http://schemas.openxmlformats.org/officeDocument/2006/relationships/hyperlink" Target="https://en.wikipedia.org/wiki/Christian" TargetMode="External"/><Relationship Id="rId9" Type="http://schemas.openxmlformats.org/officeDocument/2006/relationships/hyperlink" Target="https://en.wikipedia.org/wiki/Priesthood_(Orthodox_Church)"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59DF3467-D95A-412A-965F-5BAE327BD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11399</Words>
  <Characters>64978</Characters>
  <Application>Microsoft Office Word</Application>
  <DocSecurity>0</DocSecurity>
  <Lines>541</Lines>
  <Paragraphs>152</Paragraphs>
  <ScaleCrop>false</ScaleCrop>
  <HeadingPairs>
    <vt:vector size="2" baseType="variant">
      <vt:variant>
        <vt:lpstr>제목</vt:lpstr>
      </vt:variant>
      <vt:variant>
        <vt:i4>1</vt:i4>
      </vt:variant>
    </vt:vector>
  </HeadingPairs>
  <TitlesOfParts>
    <vt:vector size="1" baseType="lpstr">
      <vt:lpstr/>
    </vt:vector>
  </TitlesOfParts>
  <Company>HomeC</Company>
  <LinksUpToDate>false</LinksUpToDate>
  <CharactersWithSpaces>76225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dc:creator>
  <cp:lastModifiedBy>UserL</cp:lastModifiedBy>
  <cp:revision>6</cp:revision>
  <dcterms:created xsi:type="dcterms:W3CDTF">2016-04-13T12:40:00Z</dcterms:created>
  <dcterms:modified xsi:type="dcterms:W3CDTF">2016-04-14T03:52:00Z</dcterms:modified>
</cp:coreProperties>
</file>